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5"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DocumentTitle"/>
      </w:pPr>
      <w:r>
        <w:rPr>
          <w:lang w:val="en-GB" w:eastAsia="en-GB" w:bidi="en-GB"/>
        </w:rPr>
        <w:t>Site visit report</w:t>
      </w:r>
    </w:p>
    <w:tbl>
      <w:tblPr>
        <w:tblW w:type="auto" w:w="0"/>
        <w:tblLayout w:type="fixed"/>
        <w:tblLook w:firstColumn="1" w:firstRow="1" w:lastColumn="0" w:lastRow="0" w:noHBand="0" w:noVBand="1" w:val="04A0"/>
        <w:tblLayout w:type="fixed"/>
      </w:tblPr>
      <w:tblGrid>
        <w:gridCol w:w="2268"/>
        <w:gridCol w:w="7370"/>
      </w:tblGrid>
      <w:tr>
        <w:tc>
          <w:tcPr>
            <w:tcW w:type="dxa" w:w="2268"/>
          </w:tcPr>
          <w:p>
            <w:pPr>
              <w:pStyle w:val="DocumentDetails"/>
            </w:pPr>
            <w:r>
              <w:rPr>
                <w:color w:val="555555"/>
                <w:lang w:val="en-GB" w:eastAsia="en-GB" w:bidi="en-GB"/>
              </w:rPr>
              <w:t>Project</w:t>
            </w:r>
          </w:p>
        </w:tc>
        <w:tc>
          <w:tcPr>
            <w:tcW w:type="dxa" w:w="7370"/>
          </w:tcPr>
          <w:p>
            <w:pPr>
              <w:pStyle w:val="DocumentDetails"/>
            </w:pPr>
            <w:r>
              <w:rPr>
                <w:color w:val="1A1A1A"/>
                <w:lang w:val="en-GB" w:eastAsia="en-GB" w:bidi="en-GB"/>
              </w:rPr>
              <w:t>14 Larch Walk – rear extension, 14 Larch Walk, Sevenoaks TN13</w:t>
            </w:r>
          </w:p>
        </w:tc>
      </w:tr>
      <w:tr>
        <w:tc>
          <w:tcPr>
            <w:tcW w:type="dxa" w:w="2268"/>
          </w:tcPr>
          <w:p>
            <w:pPr>
              <w:pStyle w:val="DocumentDetails"/>
            </w:pPr>
            <w:r>
              <w:rPr>
                <w:color w:val="555555"/>
                <w:lang w:val="en-GB" w:eastAsia="en-GB" w:bidi="en-GB"/>
              </w:rPr>
              <w:t>Project reference</w:t>
            </w:r>
          </w:p>
        </w:tc>
        <w:tc>
          <w:tcPr>
            <w:tcW w:type="dxa" w:w="7370"/>
          </w:tcPr>
          <w:p>
            <w:pPr>
              <w:pStyle w:val="DocumentDetails"/>
            </w:pPr>
            <w:r>
              <w:rPr>
                <w:color w:val="1A1A1A"/>
                <w:lang w:val="en-GB" w:eastAsia="en-GB" w:bidi="en-GB"/>
              </w:rPr>
              <w:t>LW</w:t>
            </w:r>
          </w:p>
        </w:tc>
      </w:tr>
      <w:tr>
        <w:tc>
          <w:tcPr>
            <w:tcW w:type="dxa" w:w="2268"/>
          </w:tcPr>
          <w:p>
            <w:pPr>
              <w:pStyle w:val="DocumentDetails"/>
            </w:pPr>
            <w:r>
              <w:rPr>
                <w:color w:val="555555"/>
                <w:lang w:val="en-GB" w:eastAsia="en-GB" w:bidi="en-GB"/>
              </w:rPr>
              <w:t>Client</w:t>
            </w:r>
          </w:p>
        </w:tc>
        <w:tc>
          <w:tcPr>
            <w:tcW w:type="dxa" w:w="7370"/>
          </w:tcPr>
          <w:p>
            <w:pPr>
              <w:pStyle w:val="DocumentDetails"/>
            </w:pPr>
            <w:r>
              <w:rPr>
                <w:color w:val="1A1A1A"/>
                <w:lang w:val="en-GB" w:eastAsia="en-GB" w:bidi="en-GB"/>
              </w:rPr>
              <w:t>Mr A. Sample and Mrs B. Sample</w:t>
            </w:r>
          </w:p>
        </w:tc>
      </w:tr>
      <w:tr>
        <w:tc>
          <w:tcPr>
            <w:tcW w:type="dxa" w:w="2268"/>
          </w:tcPr>
          <w:p>
            <w:pPr>
              <w:pStyle w:val="DocumentDetails"/>
            </w:pPr>
            <w:r>
              <w:rPr>
                <w:color w:val="555555"/>
                <w:lang w:val="en-GB" w:eastAsia="en-GB" w:bidi="en-GB"/>
              </w:rPr>
              <w:t>Our reference</w:t>
            </w:r>
          </w:p>
        </w:tc>
        <w:tc>
          <w:tcPr>
            <w:tcW w:type="dxa" w:w="7370"/>
          </w:tcPr>
          <w:p>
            <w:pPr>
              <w:pStyle w:val="DocumentDetails"/>
            </w:pPr>
            <w:r>
              <w:rPr>
                <w:color w:val="1A1A1A"/>
                <w:lang w:val="en-GB" w:eastAsia="en-GB" w:bidi="en-GB"/>
              </w:rPr>
              <w:t>SVR-01 Rev A</w:t>
            </w:r>
          </w:p>
        </w:tc>
      </w:tr>
      <w:tr>
        <w:tc>
          <w:tcPr>
            <w:tcW w:type="dxa" w:w="2268"/>
          </w:tcPr>
          <w:p>
            <w:pPr>
              <w:pStyle w:val="DocumentDetails"/>
            </w:pPr>
            <w:r>
              <w:rPr>
                <w:color w:val="555555"/>
                <w:lang w:val="en-GB" w:eastAsia="en-GB" w:bidi="en-GB"/>
              </w:rPr>
              <w:t>Date of issue</w:t>
            </w:r>
          </w:p>
        </w:tc>
        <w:tc>
          <w:tcPr>
            <w:tcW w:type="dxa" w:w="7370"/>
          </w:tcPr>
          <w:p>
            <w:pPr>
              <w:pStyle w:val="DocumentDetails"/>
            </w:pPr>
            <w:r>
              <w:rPr>
                <w:color w:val="1A1A1A"/>
                <w:lang w:val="en-GB" w:eastAsia="en-GB" w:bidi="en-GB"/>
              </w:rPr>
              <w:t>14 December 2026</w:t>
            </w:r>
          </w:p>
        </w:tc>
      </w:tr>
      <w:tr>
        <w:tc>
          <w:tcPr>
            <w:tcW w:type="dxa" w:w="2268"/>
          </w:tcPr>
          <w:p>
            <w:pPr>
              <w:pStyle w:val="DocumentDetails"/>
            </w:pPr>
            <w:r>
              <w:rPr>
                <w:color w:val="555555"/>
                <w:lang w:val="en-GB" w:eastAsia="en-GB" w:bidi="en-GB"/>
              </w:rPr>
              <w:t>Date of visit</w:t>
            </w:r>
          </w:p>
        </w:tc>
        <w:tc>
          <w:tcPr>
            <w:tcW w:type="dxa" w:w="7370"/>
          </w:tcPr>
          <w:p>
            <w:pPr>
              <w:pStyle w:val="DocumentDetails"/>
            </w:pPr>
            <w:r>
              <w:rPr>
                <w:color w:val="1A1A1A"/>
                <w:lang w:val="en-GB" w:eastAsia="en-GB" w:bidi="en-GB"/>
              </w:rPr>
              <w:t>Monday 14 December 2026, 10:00am</w:t>
            </w:r>
          </w:p>
        </w:tc>
      </w:tr>
      <w:tr>
        <w:tc>
          <w:tcPr>
            <w:tcW w:type="dxa" w:w="2268"/>
          </w:tcPr>
          <w:p>
            <w:pPr>
              <w:pStyle w:val="DocumentDetails"/>
            </w:pPr>
            <w:r>
              <w:rPr>
                <w:color w:val="555555"/>
                <w:lang w:val="en-GB" w:eastAsia="en-GB" w:bidi="en-GB"/>
              </w:rPr>
              <w:t>Weather</w:t>
            </w:r>
          </w:p>
        </w:tc>
        <w:tc>
          <w:tcPr>
            <w:tcW w:type="dxa" w:w="7370"/>
          </w:tcPr>
          <w:p>
            <w:pPr>
              <w:pStyle w:val="DocumentDetails"/>
            </w:pPr>
            <w:r>
              <w:rPr>
                <w:color w:val="1A1A1A"/>
                <w:lang w:val="en-GB" w:eastAsia="en-GB" w:bidi="en-GB"/>
              </w:rPr>
              <w:t>Dry, overcast, 4°C</w:t>
            </w:r>
          </w:p>
        </w:tc>
      </w:tr>
      <w:tr>
        <w:tc>
          <w:tcPr>
            <w:tcW w:type="dxa" w:w="2268"/>
          </w:tcPr>
          <w:p>
            <w:pPr>
              <w:pStyle w:val="DocumentDetails"/>
            </w:pPr>
            <w:r>
              <w:rPr>
                <w:color w:val="555555"/>
                <w:lang w:val="en-GB" w:eastAsia="en-GB" w:bidi="en-GB"/>
              </w:rPr>
              <w:t>Purpose</w:t>
            </w:r>
          </w:p>
        </w:tc>
        <w:tc>
          <w:tcPr>
            <w:tcW w:type="dxa" w:w="7370"/>
          </w:tcPr>
          <w:p>
            <w:pPr>
              <w:pStyle w:val="DocumentDetails"/>
            </w:pPr>
            <w:r>
              <w:rPr>
                <w:color w:val="1A1A1A"/>
                <w:lang w:val="en-GB" w:eastAsia="en-GB" w:bidi="en-GB"/>
              </w:rPr>
              <w:t>Periodic inspection of progress and visible workmanship at the rear extension.</w:t>
            </w:r>
          </w:p>
        </w:tc>
      </w:tr>
    </w:tbl>
    <w:p>
      <w:pPr>
        <w:pStyle w:val="SmallPrint"/>
        <w:spacing w:after="40"/>
      </w:pPr>
    </w:p>
    <w:p>
      <w:pPr>
        <w:pStyle w:val="DocumentHeading"/>
      </w:pPr>
      <w:r>
        <w:rPr>
          <w:lang w:val="en-GB" w:eastAsia="en-GB" w:bidi="en-GB"/>
        </w:rPr>
        <w:t>Present</w:t>
      </w:r>
    </w:p>
    <w:tbl>
      <w:tblPr>
        <w:tblW w:type="auto" w:w="0"/>
        <w:jc w:val="left"/>
        <w:tblLayout w:type="fixed"/>
        <w:tblLook w:firstColumn="1" w:firstRow="1" w:lastColumn="0" w:lastRow="0" w:noHBand="0" w:noVBand="1" w:val="04A0"/>
        <w:tblLayout w:type="fixed"/>
      </w:tblPr>
      <w:tblGrid>
        <w:gridCol w:w="2965"/>
        <w:gridCol w:w="3707"/>
        <w:gridCol w:w="2965"/>
      </w:tblGrid>
      <w:tr>
        <w:trPr>
          <w:tblHeader w:val="true"/>
          <w:cantSplit/>
        </w:trPr>
        <w:tc>
          <w:tcPr>
            <w:tcW w:type="dxa" w:w="2965"/>
            <w:tcBorders>
              <w:bottom w:val="single" w:sz="6" w:color="1A1A1A"/>
            </w:tcBorders>
          </w:tcPr>
          <w:p>
            <w:r>
              <w:rPr>
                <w:color w:val="555555"/>
                <w:sz w:val="14"/>
                <w:lang w:val="en-GB" w:eastAsia="en-GB" w:bidi="en-GB"/>
              </w:rPr>
              <w:t>Name</w:t>
            </w:r>
          </w:p>
        </w:tc>
        <w:tc>
          <w:tcPr>
            <w:tcW w:type="dxa" w:w="3707"/>
            <w:tcBorders>
              <w:bottom w:val="single" w:sz="6" w:color="1A1A1A"/>
            </w:tcBorders>
          </w:tcPr>
          <w:p>
            <w:r>
              <w:rPr>
                <w:color w:val="555555"/>
                <w:sz w:val="14"/>
                <w:lang w:val="en-GB" w:eastAsia="en-GB" w:bidi="en-GB"/>
              </w:rPr>
              <w:t>Organisation</w:t>
            </w:r>
          </w:p>
        </w:tc>
        <w:tc>
          <w:tcPr>
            <w:tcW w:type="dxa" w:w="2965"/>
            <w:tcBorders>
              <w:bottom w:val="single" w:sz="6" w:color="1A1A1A"/>
            </w:tcBorders>
          </w:tcPr>
          <w:p>
            <w:r>
              <w:rPr>
                <w:color w:val="555555"/>
                <w:sz w:val="14"/>
                <w:lang w:val="en-GB" w:eastAsia="en-GB" w:bidi="en-GB"/>
              </w:rPr>
              <w:t>Role</w:t>
            </w:r>
          </w:p>
        </w:tc>
      </w:tr>
      <w:tr>
        <w:trPr>
          <w:cantSplit/>
        </w:trPr>
        <w:tc>
          <w:tcPr>
            <w:tcW w:type="dxa" w:w="2965"/>
            <w:tcBorders>
              <w:bottom w:val="single" w:sz="4" w:color="C9C9C6"/>
            </w:tcBorders>
          </w:tcPr>
          <w:p>
            <w:pPr>
              <w:spacing w:after="20"/>
            </w:pPr>
            <w:r>
              <w:rPr>
                <w:b w:val="0"/>
                <w:sz w:val="16"/>
                <w:lang w:val="en-GB" w:eastAsia="en-GB" w:bidi="en-GB"/>
              </w:rPr>
              <w:t>Jane Harper</w:t>
            </w:r>
          </w:p>
        </w:tc>
        <w:tc>
          <w:tcPr>
            <w:tcW w:type="dxa" w:w="3707"/>
            <w:tcBorders>
              <w:bottom w:val="single" w:sz="4" w:color="C9C9C6"/>
            </w:tcBorders>
          </w:tcPr>
          <w:p>
            <w:pPr>
              <w:spacing w:after="20"/>
            </w:pPr>
            <w:r>
              <w:rPr>
                <w:b w:val="0"/>
                <w:sz w:val="16"/>
                <w:lang w:val="en-GB" w:eastAsia="en-GB" w:bidi="en-GB"/>
              </w:rPr>
            </w:r>
          </w:p>
        </w:tc>
        <w:tc>
          <w:tcPr>
            <w:tcW w:type="dxa" w:w="2965"/>
            <w:tcBorders>
              <w:bottom w:val="single" w:sz="4" w:color="C9C9C6"/>
            </w:tcBorders>
          </w:tcPr>
          <w:p>
            <w:pPr>
              <w:spacing w:after="20"/>
            </w:pPr>
            <w:r>
              <w:rPr>
                <w:b w:val="0"/>
                <w:sz w:val="16"/>
                <w:lang w:val="en-GB" w:eastAsia="en-GB" w:bidi="en-GB"/>
              </w:rPr>
              <w:t>Contract Administrator</w:t>
            </w:r>
          </w:p>
        </w:tc>
      </w:tr>
      <w:tr>
        <w:trPr>
          <w:cantSplit/>
        </w:trPr>
        <w:tc>
          <w:tcPr>
            <w:tcW w:type="dxa" w:w="2965"/>
            <w:tcBorders>
              <w:bottom w:val="single" w:sz="4" w:color="C9C9C6"/>
            </w:tcBorders>
          </w:tcPr>
          <w:p>
            <w:pPr>
              <w:spacing w:after="20"/>
            </w:pPr>
            <w:r>
              <w:rPr>
                <w:b w:val="0"/>
                <w:sz w:val="16"/>
                <w:lang w:val="en-GB" w:eastAsia="en-GB" w:bidi="en-GB"/>
              </w:rPr>
              <w:t>T. Hartfield</w:t>
            </w:r>
          </w:p>
        </w:tc>
        <w:tc>
          <w:tcPr>
            <w:tcW w:type="dxa" w:w="3707"/>
            <w:tcBorders>
              <w:bottom w:val="single" w:sz="4" w:color="C9C9C6"/>
            </w:tcBorders>
          </w:tcPr>
          <w:p>
            <w:pPr>
              <w:spacing w:after="20"/>
            </w:pPr>
            <w:r>
              <w:rPr>
                <w:b w:val="0"/>
                <w:sz w:val="16"/>
                <w:lang w:val="en-GB" w:eastAsia="en-GB" w:bidi="en-GB"/>
              </w:rPr>
            </w:r>
          </w:p>
        </w:tc>
        <w:tc>
          <w:tcPr>
            <w:tcW w:type="dxa" w:w="2965"/>
            <w:tcBorders>
              <w:bottom w:val="single" w:sz="4" w:color="C9C9C6"/>
            </w:tcBorders>
          </w:tcPr>
          <w:p>
            <w:pPr>
              <w:spacing w:after="20"/>
            </w:pPr>
            <w:r>
              <w:rPr>
                <w:b w:val="0"/>
                <w:sz w:val="16"/>
                <w:lang w:val="en-GB" w:eastAsia="en-GB" w:bidi="en-GB"/>
              </w:rPr>
              <w:t>Contractor</w:t>
            </w:r>
          </w:p>
        </w:tc>
      </w:tr>
      <w:tr>
        <w:trPr>
          <w:cantSplit/>
        </w:trPr>
        <w:tc>
          <w:tcPr>
            <w:tcW w:type="dxa" w:w="2965"/>
            <w:tcBorders>
              <w:bottom w:val="single" w:sz="4" w:color="C9C9C6"/>
            </w:tcBorders>
          </w:tcPr>
          <w:p>
            <w:pPr>
              <w:spacing w:after="20"/>
            </w:pPr>
            <w:r>
              <w:rPr>
                <w:b w:val="0"/>
                <w:sz w:val="16"/>
                <w:lang w:val="en-GB" w:eastAsia="en-GB" w:bidi="en-GB"/>
              </w:rPr>
              <w:t>Mrs B. Sample</w:t>
            </w:r>
          </w:p>
        </w:tc>
        <w:tc>
          <w:tcPr>
            <w:tcW w:type="dxa" w:w="3707"/>
            <w:tcBorders>
              <w:bottom w:val="single" w:sz="4" w:color="C9C9C6"/>
            </w:tcBorders>
          </w:tcPr>
          <w:p>
            <w:pPr>
              <w:spacing w:after="20"/>
            </w:pPr>
            <w:r>
              <w:rPr>
                <w:b w:val="0"/>
                <w:sz w:val="16"/>
                <w:lang w:val="en-GB" w:eastAsia="en-GB" w:bidi="en-GB"/>
              </w:rPr>
            </w:r>
          </w:p>
        </w:tc>
        <w:tc>
          <w:tcPr>
            <w:tcW w:type="dxa" w:w="2965"/>
            <w:tcBorders>
              <w:bottom w:val="single" w:sz="4" w:color="C9C9C6"/>
            </w:tcBorders>
          </w:tcPr>
          <w:p>
            <w:pPr>
              <w:spacing w:after="20"/>
            </w:pPr>
            <w:r>
              <w:rPr>
                <w:b w:val="0"/>
                <w:sz w:val="16"/>
                <w:lang w:val="en-GB" w:eastAsia="en-GB" w:bidi="en-GB"/>
              </w:rPr>
              <w:t>Client; present for the last 20 minutes</w:t>
            </w:r>
          </w:p>
        </w:tc>
      </w:tr>
    </w:tbl>
    <w:p>
      <w:pPr>
        <w:pStyle w:val="SmallPrint"/>
        <w:spacing w:after="80"/>
      </w:pPr>
    </w:p>
    <w:p>
      <w:pPr>
        <w:pStyle w:val="DocumentHeading"/>
      </w:pPr>
      <w:r>
        <w:rPr>
          <w:lang w:val="en-GB" w:eastAsia="en-GB" w:bidi="en-GB"/>
        </w:rPr>
        <w:t>Progress</w:t>
      </w:r>
    </w:p>
    <w:p>
      <w:pPr>
        <w:keepNext w:val="0"/>
      </w:pPr>
      <w:r>
        <w:rPr>
          <w:lang w:val="en-GB" w:eastAsia="en-GB" w:bidi="en-GB"/>
        </w:rPr>
        <w:t>Foundations and slab complete; external walls at wall-plate level on all three sides. Steel beam S1 installed and the existing rear wall removed. Roof joists and deck installed; membrane not yet laid and temporary tarpaulin protection in place. Drainage diversion completed and CCTV survey reported done. Bifold doors D10 delivered on 11 December 2026 and stored, uninstalled, in the clients’ locked garage. The Contractor’s programme shows the roof 2 weeks behind following late steel delivery; the effect on overall completion has not been established. The contractual completion date is 12 February 2027.</w:t>
      </w:r>
    </w:p>
    <w:p>
      <w:pPr>
        <w:pStyle w:val="DocumentHeading"/>
      </w:pPr>
      <w:r>
        <w:rPr>
          <w:lang w:val="en-GB" w:eastAsia="en-GB" w:bidi="en-GB"/>
        </w:rPr>
        <w:t>Observations</w:t>
      </w:r>
    </w:p>
    <w:tbl>
      <w:tblPr>
        <w:tblW w:type="auto" w:w="0"/>
        <w:jc w:val="left"/>
        <w:tblLayout w:type="fixed"/>
        <w:tblLook w:firstColumn="1" w:firstRow="1" w:lastColumn="0" w:lastRow="0" w:noHBand="0" w:noVBand="1" w:val="04A0"/>
        <w:tblLayout w:type="fixed"/>
      </w:tblPr>
      <w:tblGrid>
        <w:gridCol w:w="697"/>
        <w:gridCol w:w="2090"/>
        <w:gridCol w:w="5806"/>
        <w:gridCol w:w="1045"/>
      </w:tblGrid>
      <w:tr>
        <w:trPr>
          <w:tblHeader w:val="true"/>
          <w:cantSplit/>
        </w:trPr>
        <w:tc>
          <w:tcPr>
            <w:tcW w:type="dxa" w:w="697"/>
            <w:tcBorders>
              <w:bottom w:val="single" w:sz="6" w:color="1A1A1A"/>
            </w:tcBorders>
          </w:tcPr>
          <w:p>
            <w:r>
              <w:rPr>
                <w:color w:val="555555"/>
                <w:sz w:val="14"/>
                <w:lang w:val="en-GB" w:eastAsia="en-GB" w:bidi="en-GB"/>
              </w:rPr>
              <w:t>Ref.</w:t>
            </w:r>
          </w:p>
        </w:tc>
        <w:tc>
          <w:tcPr>
            <w:tcW w:type="dxa" w:w="2090"/>
            <w:tcBorders>
              <w:bottom w:val="single" w:sz="6" w:color="1A1A1A"/>
            </w:tcBorders>
          </w:tcPr>
          <w:p>
            <w:r>
              <w:rPr>
                <w:color w:val="555555"/>
                <w:sz w:val="14"/>
                <w:lang w:val="en-GB" w:eastAsia="en-GB" w:bidi="en-GB"/>
              </w:rPr>
              <w:t>Location</w:t>
            </w:r>
          </w:p>
        </w:tc>
        <w:tc>
          <w:tcPr>
            <w:tcW w:type="dxa" w:w="5806"/>
            <w:tcBorders>
              <w:bottom w:val="single" w:sz="6" w:color="1A1A1A"/>
            </w:tcBorders>
          </w:tcPr>
          <w:p>
            <w:r>
              <w:rPr>
                <w:color w:val="555555"/>
                <w:sz w:val="14"/>
                <w:lang w:val="en-GB" w:eastAsia="en-GB" w:bidi="en-GB"/>
              </w:rPr>
              <w:t>Observation</w:t>
            </w:r>
          </w:p>
        </w:tc>
        <w:tc>
          <w:tcPr>
            <w:tcW w:type="dxa" w:w="1045"/>
            <w:tcBorders>
              <w:bottom w:val="single" w:sz="6" w:color="1A1A1A"/>
            </w:tcBorders>
          </w:tcPr>
          <w:p>
            <w:r>
              <w:rPr>
                <w:color w:val="555555"/>
                <w:sz w:val="14"/>
                <w:lang w:val="en-GB" w:eastAsia="en-GB" w:bidi="en-GB"/>
              </w:rPr>
              <w:t>Photo</w:t>
            </w:r>
          </w:p>
        </w:tc>
      </w:tr>
      <w:tr>
        <w:trPr>
          <w:cantSplit/>
        </w:trPr>
        <w:tc>
          <w:tcPr>
            <w:tcW w:type="dxa" w:w="697"/>
            <w:tcBorders>
              <w:bottom w:val="single" w:sz="4" w:color="C9C9C6"/>
            </w:tcBorders>
          </w:tcPr>
          <w:p>
            <w:pPr>
              <w:spacing w:after="20"/>
            </w:pPr>
            <w:r>
              <w:rPr>
                <w:b w:val="0"/>
                <w:sz w:val="16"/>
                <w:lang w:val="en-GB" w:eastAsia="en-GB" w:bidi="en-GB"/>
              </w:rPr>
              <w:t>01</w:t>
            </w:r>
          </w:p>
        </w:tc>
        <w:tc>
          <w:tcPr>
            <w:tcW w:type="dxa" w:w="2090"/>
            <w:tcBorders>
              <w:bottom w:val="single" w:sz="4" w:color="C9C9C6"/>
            </w:tcBorders>
          </w:tcPr>
          <w:p>
            <w:pPr>
              <w:spacing w:after="20"/>
            </w:pPr>
            <w:r>
              <w:rPr>
                <w:b w:val="0"/>
                <w:sz w:val="16"/>
                <w:lang w:val="en-GB" w:eastAsia="en-GB" w:bidi="en-GB"/>
              </w:rPr>
              <w:t>Bifold opening D10</w:t>
            </w:r>
          </w:p>
        </w:tc>
        <w:tc>
          <w:tcPr>
            <w:tcW w:type="dxa" w:w="5806"/>
            <w:tcBorders>
              <w:bottom w:val="single" w:sz="4" w:color="C9C9C6"/>
            </w:tcBorders>
          </w:tcPr>
          <w:p>
            <w:pPr>
              <w:spacing w:after="20"/>
            </w:pPr>
            <w:r>
              <w:rPr>
                <w:b w:val="0"/>
                <w:sz w:val="16"/>
                <w:lang w:val="en-GB" w:eastAsia="en-GB" w:bidi="en-GB"/>
              </w:rPr>
              <w:t>The cavity tray was not visible. The Contractor was asked on site to confirm installation; absence of a visible tray is not proof that it is missing.</w:t>
            </w:r>
          </w:p>
        </w:tc>
        <w:tc>
          <w:tcPr>
            <w:tcW w:type="dxa" w:w="1045"/>
            <w:tcBorders>
              <w:bottom w:val="single" w:sz="4" w:color="C9C9C6"/>
            </w:tcBorders>
          </w:tcPr>
          <w:p>
            <w:pPr>
              <w:spacing w:after="20"/>
            </w:pPr>
            <w:r>
              <w:rPr>
                <w:b w:val="0"/>
                <w:sz w:val="16"/>
                <w:lang w:val="en-GB" w:eastAsia="en-GB" w:bidi="en-GB"/>
              </w:rPr>
              <w:t>P3 (not supplied)</w:t>
            </w:r>
          </w:p>
        </w:tc>
      </w:tr>
      <w:tr>
        <w:trPr>
          <w:cantSplit/>
        </w:trPr>
        <w:tc>
          <w:tcPr>
            <w:tcW w:type="dxa" w:w="697"/>
            <w:tcBorders>
              <w:bottom w:val="single" w:sz="4" w:color="C9C9C6"/>
            </w:tcBorders>
          </w:tcPr>
          <w:p>
            <w:pPr>
              <w:spacing w:after="20"/>
            </w:pPr>
            <w:r>
              <w:rPr>
                <w:b w:val="0"/>
                <w:sz w:val="16"/>
                <w:lang w:val="en-GB" w:eastAsia="en-GB" w:bidi="en-GB"/>
              </w:rPr>
              <w:t>02</w:t>
            </w:r>
          </w:p>
        </w:tc>
        <w:tc>
          <w:tcPr>
            <w:tcW w:type="dxa" w:w="2090"/>
            <w:tcBorders>
              <w:bottom w:val="single" w:sz="4" w:color="C9C9C6"/>
            </w:tcBorders>
          </w:tcPr>
          <w:p>
            <w:pPr>
              <w:spacing w:after="20"/>
            </w:pPr>
            <w:r>
              <w:rPr>
                <w:b w:val="0"/>
                <w:sz w:val="16"/>
                <w:lang w:val="en-GB" w:eastAsia="en-GB" w:bidi="en-GB"/>
              </w:rPr>
              <w:t>East flank brickwork</w:t>
            </w:r>
          </w:p>
        </w:tc>
        <w:tc>
          <w:tcPr>
            <w:tcW w:type="dxa" w:w="5806"/>
            <w:tcBorders>
              <w:bottom w:val="single" w:sz="4" w:color="C9C9C6"/>
            </w:tcBorders>
          </w:tcPr>
          <w:p>
            <w:pPr>
              <w:spacing w:after="20"/>
            </w:pPr>
            <w:r>
              <w:rPr>
                <w:b w:val="0"/>
                <w:sz w:val="16"/>
                <w:lang w:val="en-GB" w:eastAsia="en-GB" w:bidi="en-GB"/>
              </w:rPr>
              <w:t>The brick colour appeared slightly lighter than the sample panel.</w:t>
            </w:r>
          </w:p>
        </w:tc>
        <w:tc>
          <w:tcPr>
            <w:tcW w:type="dxa" w:w="1045"/>
            <w:tcBorders>
              <w:bottom w:val="single" w:sz="4" w:color="C9C9C6"/>
            </w:tcBorders>
          </w:tcPr>
          <w:p>
            <w:pPr>
              <w:spacing w:after="20"/>
            </w:pPr>
            <w:r>
              <w:rPr>
                <w:b w:val="0"/>
                <w:sz w:val="16"/>
                <w:lang w:val="en-GB" w:eastAsia="en-GB" w:bidi="en-GB"/>
              </w:rPr>
            </w:r>
          </w:p>
        </w:tc>
      </w:tr>
      <w:tr>
        <w:trPr>
          <w:cantSplit/>
        </w:trPr>
        <w:tc>
          <w:tcPr>
            <w:tcW w:type="dxa" w:w="697"/>
            <w:tcBorders>
              <w:bottom w:val="single" w:sz="4" w:color="C9C9C6"/>
            </w:tcBorders>
          </w:tcPr>
          <w:p>
            <w:pPr>
              <w:spacing w:after="20"/>
            </w:pPr>
            <w:r>
              <w:rPr>
                <w:b w:val="0"/>
                <w:sz w:val="16"/>
                <w:lang w:val="en-GB" w:eastAsia="en-GB" w:bidi="en-GB"/>
              </w:rPr>
              <w:t>03</w:t>
            </w:r>
          </w:p>
        </w:tc>
        <w:tc>
          <w:tcPr>
            <w:tcW w:type="dxa" w:w="2090"/>
            <w:tcBorders>
              <w:bottom w:val="single" w:sz="4" w:color="C9C9C6"/>
            </w:tcBorders>
          </w:tcPr>
          <w:p>
            <w:pPr>
              <w:spacing w:after="20"/>
            </w:pPr>
            <w:r>
              <w:rPr>
                <w:b w:val="0"/>
                <w:sz w:val="16"/>
                <w:lang w:val="en-GB" w:eastAsia="en-GB" w:bidi="en-GB"/>
              </w:rPr>
              <w:t>Party wall with No. 12</w:t>
            </w:r>
          </w:p>
        </w:tc>
        <w:tc>
          <w:tcPr>
            <w:tcW w:type="dxa" w:w="5806"/>
            <w:tcBorders>
              <w:bottom w:val="single" w:sz="4" w:color="C9C9C6"/>
            </w:tcBorders>
          </w:tcPr>
          <w:p>
            <w:pPr>
              <w:spacing w:after="20"/>
            </w:pPr>
            <w:r>
              <w:rPr>
                <w:b w:val="0"/>
                <w:sz w:val="16"/>
                <w:lang w:val="en-GB" w:eastAsia="en-GB" w:bidi="en-GB"/>
              </w:rPr>
              <w:t>The padstone pocket is complete. The notes record that No. 12’s surveyor visited on 10 December 2026; they do not record the surveyor’s findings.</w:t>
            </w:r>
          </w:p>
        </w:tc>
        <w:tc>
          <w:tcPr>
            <w:tcW w:type="dxa" w:w="1045"/>
            <w:tcBorders>
              <w:bottom w:val="single" w:sz="4" w:color="C9C9C6"/>
            </w:tcBorders>
          </w:tcPr>
          <w:p>
            <w:pPr>
              <w:spacing w:after="20"/>
            </w:pPr>
            <w:r>
              <w:rPr>
                <w:b w:val="0"/>
                <w:sz w:val="16"/>
                <w:lang w:val="en-GB" w:eastAsia="en-GB" w:bidi="en-GB"/>
              </w:rPr>
            </w:r>
          </w:p>
        </w:tc>
      </w:tr>
      <w:tr>
        <w:trPr>
          <w:cantSplit/>
        </w:trPr>
        <w:tc>
          <w:tcPr>
            <w:tcW w:type="dxa" w:w="697"/>
            <w:tcBorders>
              <w:bottom w:val="single" w:sz="4" w:color="C9C9C6"/>
            </w:tcBorders>
          </w:tcPr>
          <w:p>
            <w:pPr>
              <w:spacing w:after="20"/>
            </w:pPr>
            <w:r>
              <w:rPr>
                <w:b w:val="0"/>
                <w:sz w:val="16"/>
                <w:lang w:val="en-GB" w:eastAsia="en-GB" w:bidi="en-GB"/>
              </w:rPr>
              <w:t>04</w:t>
            </w:r>
          </w:p>
        </w:tc>
        <w:tc>
          <w:tcPr>
            <w:tcW w:type="dxa" w:w="2090"/>
            <w:tcBorders>
              <w:bottom w:val="single" w:sz="4" w:color="C9C9C6"/>
            </w:tcBorders>
          </w:tcPr>
          <w:p>
            <w:pPr>
              <w:spacing w:after="20"/>
            </w:pPr>
            <w:r>
              <w:rPr>
                <w:b w:val="0"/>
                <w:sz w:val="16"/>
                <w:lang w:val="en-GB" w:eastAsia="en-GB" w:bidi="en-GB"/>
              </w:rPr>
              <w:t>Foundations, damp-proof course and slab</w:t>
            </w:r>
          </w:p>
        </w:tc>
        <w:tc>
          <w:tcPr>
            <w:tcW w:type="dxa" w:w="5806"/>
            <w:tcBorders>
              <w:bottom w:val="single" w:sz="4" w:color="C9C9C6"/>
            </w:tcBorders>
          </w:tcPr>
          <w:p>
            <w:pPr>
              <w:spacing w:after="20"/>
            </w:pPr>
            <w:r>
              <w:rPr>
                <w:b w:val="0"/>
                <w:sz w:val="16"/>
                <w:lang w:val="en-GB" w:eastAsia="en-GB" w:bidi="en-GB"/>
              </w:rPr>
              <w:t>The notes record a satisfactory building control foundation inspection on 20 November 2026. The damp-proof course/slab inspection had not been booked, although the slab was already complete.</w:t>
            </w:r>
          </w:p>
        </w:tc>
        <w:tc>
          <w:tcPr>
            <w:tcW w:type="dxa" w:w="1045"/>
            <w:tcBorders>
              <w:bottom w:val="single" w:sz="4" w:color="C9C9C6"/>
            </w:tcBorders>
          </w:tcPr>
          <w:p>
            <w:pPr>
              <w:spacing w:after="20"/>
            </w:pPr>
            <w:r>
              <w:rPr>
                <w:b w:val="0"/>
                <w:sz w:val="16"/>
                <w:lang w:val="en-GB" w:eastAsia="en-GB" w:bidi="en-GB"/>
              </w:rPr>
            </w:r>
          </w:p>
        </w:tc>
      </w:tr>
      <w:tr>
        <w:trPr>
          <w:cantSplit/>
        </w:trPr>
        <w:tc>
          <w:tcPr>
            <w:tcW w:type="dxa" w:w="697"/>
            <w:tcBorders>
              <w:bottom w:val="single" w:sz="4" w:color="C9C9C6"/>
            </w:tcBorders>
          </w:tcPr>
          <w:p>
            <w:pPr>
              <w:spacing w:after="20"/>
            </w:pPr>
            <w:r>
              <w:rPr>
                <w:b w:val="0"/>
                <w:sz w:val="16"/>
                <w:lang w:val="en-GB" w:eastAsia="en-GB" w:bidi="en-GB"/>
              </w:rPr>
              <w:t>05</w:t>
            </w:r>
          </w:p>
        </w:tc>
        <w:tc>
          <w:tcPr>
            <w:tcW w:type="dxa" w:w="2090"/>
            <w:tcBorders>
              <w:bottom w:val="single" w:sz="4" w:color="C9C9C6"/>
            </w:tcBorders>
          </w:tcPr>
          <w:p>
            <w:pPr>
              <w:spacing w:after="20"/>
            </w:pPr>
            <w:r>
              <w:rPr>
                <w:b w:val="0"/>
                <w:sz w:val="16"/>
                <w:lang w:val="en-GB" w:eastAsia="en-GB" w:bidi="en-GB"/>
              </w:rPr>
              <w:t>East scaffold lift</w:t>
            </w:r>
          </w:p>
        </w:tc>
        <w:tc>
          <w:tcPr>
            <w:tcW w:type="dxa" w:w="5806"/>
            <w:tcBorders>
              <w:bottom w:val="single" w:sz="4" w:color="C9C9C6"/>
            </w:tcBorders>
          </w:tcPr>
          <w:p>
            <w:pPr>
              <w:spacing w:after="20"/>
            </w:pPr>
            <w:r>
              <w:rPr>
                <w:b w:val="0"/>
                <w:sz w:val="16"/>
                <w:lang w:val="en-GB" w:eastAsia="en-GB" w:bidi="en-GB"/>
              </w:rPr>
              <w:t>Missing toe-boards were raised with the Contractor and corrected during the visit. This observation is closed on the visit record.</w:t>
            </w:r>
          </w:p>
        </w:tc>
        <w:tc>
          <w:tcPr>
            <w:tcW w:type="dxa" w:w="1045"/>
            <w:tcBorders>
              <w:bottom w:val="single" w:sz="4" w:color="C9C9C6"/>
            </w:tcBorders>
          </w:tcPr>
          <w:p>
            <w:pPr>
              <w:spacing w:after="20"/>
            </w:pPr>
            <w:r>
              <w:rPr>
                <w:b w:val="0"/>
                <w:sz w:val="16"/>
                <w:lang w:val="en-GB" w:eastAsia="en-GB" w:bidi="en-GB"/>
              </w:rPr>
            </w:r>
          </w:p>
        </w:tc>
      </w:tr>
      <w:tr>
        <w:trPr>
          <w:cantSplit/>
        </w:trPr>
        <w:tc>
          <w:tcPr>
            <w:tcW w:type="dxa" w:w="697"/>
            <w:tcBorders>
              <w:bottom w:val="single" w:sz="4" w:color="C9C9C6"/>
            </w:tcBorders>
          </w:tcPr>
          <w:p>
            <w:pPr>
              <w:spacing w:after="20"/>
            </w:pPr>
            <w:r>
              <w:rPr>
                <w:b w:val="0"/>
                <w:sz w:val="16"/>
                <w:lang w:val="en-GB" w:eastAsia="en-GB" w:bidi="en-GB"/>
              </w:rPr>
              <w:t>06</w:t>
            </w:r>
          </w:p>
        </w:tc>
        <w:tc>
          <w:tcPr>
            <w:tcW w:type="dxa" w:w="2090"/>
            <w:tcBorders>
              <w:bottom w:val="single" w:sz="4" w:color="C9C9C6"/>
            </w:tcBorders>
          </w:tcPr>
          <w:p>
            <w:pPr>
              <w:spacing w:after="20"/>
            </w:pPr>
            <w:r>
              <w:rPr>
                <w:b w:val="0"/>
                <w:sz w:val="16"/>
                <w:lang w:val="en-GB" w:eastAsia="en-GB" w:bidi="en-GB"/>
              </w:rPr>
              <w:t>Flat roof</w:t>
            </w:r>
          </w:p>
        </w:tc>
        <w:tc>
          <w:tcPr>
            <w:tcW w:type="dxa" w:w="5806"/>
            <w:tcBorders>
              <w:bottom w:val="single" w:sz="4" w:color="C9C9C6"/>
            </w:tcBorders>
          </w:tcPr>
          <w:p>
            <w:pPr>
              <w:spacing w:after="20"/>
            </w:pPr>
            <w:r>
              <w:rPr>
                <w:b w:val="0"/>
                <w:sz w:val="16"/>
                <w:lang w:val="en-GB" w:eastAsia="en-GB" w:bidi="en-GB"/>
              </w:rPr>
              <w:t>The deck is temporarily protected with tarpaulin; the permanent membrane is not installed.</w:t>
            </w:r>
          </w:p>
        </w:tc>
        <w:tc>
          <w:tcPr>
            <w:tcW w:type="dxa" w:w="1045"/>
            <w:tcBorders>
              <w:bottom w:val="single" w:sz="4" w:color="C9C9C6"/>
            </w:tcBorders>
          </w:tcPr>
          <w:p>
            <w:pPr>
              <w:spacing w:after="20"/>
            </w:pPr>
            <w:r>
              <w:rPr>
                <w:b w:val="0"/>
                <w:sz w:val="16"/>
                <w:lang w:val="en-GB" w:eastAsia="en-GB" w:bidi="en-GB"/>
              </w:rPr>
            </w:r>
          </w:p>
        </w:tc>
      </w:tr>
      <w:tr>
        <w:trPr>
          <w:cantSplit/>
        </w:trPr>
        <w:tc>
          <w:tcPr>
            <w:tcW w:type="dxa" w:w="697"/>
            <w:tcBorders>
              <w:bottom w:val="single" w:sz="4" w:color="C9C9C6"/>
            </w:tcBorders>
          </w:tcPr>
          <w:p>
            <w:pPr>
              <w:spacing w:after="20"/>
            </w:pPr>
            <w:r>
              <w:rPr>
                <w:b w:val="0"/>
                <w:sz w:val="16"/>
                <w:lang w:val="en-GB" w:eastAsia="en-GB" w:bidi="en-GB"/>
              </w:rPr>
              <w:t>07</w:t>
            </w:r>
          </w:p>
        </w:tc>
        <w:tc>
          <w:tcPr>
            <w:tcW w:type="dxa" w:w="2090"/>
            <w:tcBorders>
              <w:bottom w:val="single" w:sz="4" w:color="C9C9C6"/>
            </w:tcBorders>
          </w:tcPr>
          <w:p>
            <w:pPr>
              <w:spacing w:after="20"/>
            </w:pPr>
            <w:r>
              <w:rPr>
                <w:b w:val="0"/>
                <w:sz w:val="16"/>
                <w:lang w:val="en-GB" w:eastAsia="en-GB" w:bidi="en-GB"/>
              </w:rPr>
              <w:t>Programme</w:t>
            </w:r>
          </w:p>
        </w:tc>
        <w:tc>
          <w:tcPr>
            <w:tcW w:type="dxa" w:w="5806"/>
            <w:tcBorders>
              <w:bottom w:val="single" w:sz="4" w:color="C9C9C6"/>
            </w:tcBorders>
          </w:tcPr>
          <w:p>
            <w:pPr>
              <w:spacing w:after="20"/>
            </w:pPr>
            <w:r>
              <w:rPr>
                <w:b w:val="0"/>
                <w:sz w:val="16"/>
                <w:lang w:val="en-GB" w:eastAsia="en-GB" w:bidi="en-GB"/>
              </w:rPr>
              <w:t>The reported 2-week roof delay is attributed to late steel delivery. No revised contractual completion date is recorded.</w:t>
            </w:r>
          </w:p>
        </w:tc>
        <w:tc>
          <w:tcPr>
            <w:tcW w:type="dxa" w:w="1045"/>
            <w:tcBorders>
              <w:bottom w:val="single" w:sz="4" w:color="C9C9C6"/>
            </w:tcBorders>
          </w:tcPr>
          <w:p>
            <w:pPr>
              <w:spacing w:after="20"/>
            </w:pPr>
            <w:r>
              <w:rPr>
                <w:b w:val="0"/>
                <w:sz w:val="16"/>
                <w:lang w:val="en-GB" w:eastAsia="en-GB" w:bidi="en-GB"/>
              </w:rPr>
            </w:r>
          </w:p>
        </w:tc>
      </w:tr>
      <w:tr>
        <w:trPr>
          <w:cantSplit/>
        </w:trPr>
        <w:tc>
          <w:tcPr>
            <w:tcW w:type="dxa" w:w="697"/>
            <w:tcBorders>
              <w:bottom w:val="single" w:sz="4" w:color="C9C9C6"/>
            </w:tcBorders>
          </w:tcPr>
          <w:p>
            <w:pPr>
              <w:spacing w:after="20"/>
            </w:pPr>
            <w:r>
              <w:rPr>
                <w:b w:val="0"/>
                <w:sz w:val="16"/>
                <w:lang w:val="en-GB" w:eastAsia="en-GB" w:bidi="en-GB"/>
              </w:rPr>
              <w:t>08</w:t>
            </w:r>
          </w:p>
        </w:tc>
        <w:tc>
          <w:tcPr>
            <w:tcW w:type="dxa" w:w="2090"/>
            <w:tcBorders>
              <w:bottom w:val="single" w:sz="4" w:color="C9C9C6"/>
            </w:tcBorders>
          </w:tcPr>
          <w:p>
            <w:pPr>
              <w:spacing w:after="20"/>
            </w:pPr>
            <w:r>
              <w:rPr>
                <w:b w:val="0"/>
                <w:sz w:val="16"/>
                <w:lang w:val="en-GB" w:eastAsia="en-GB" w:bidi="en-GB"/>
              </w:rPr>
              <w:t>Diverted drainage</w:t>
            </w:r>
          </w:p>
        </w:tc>
        <w:tc>
          <w:tcPr>
            <w:tcW w:type="dxa" w:w="5806"/>
            <w:tcBorders>
              <w:bottom w:val="single" w:sz="4" w:color="C9C9C6"/>
            </w:tcBorders>
          </w:tcPr>
          <w:p>
            <w:pPr>
              <w:spacing w:after="20"/>
            </w:pPr>
            <w:r>
              <w:rPr>
                <w:b w:val="0"/>
                <w:sz w:val="16"/>
                <w:lang w:val="en-GB" w:eastAsia="en-GB" w:bidi="en-GB"/>
              </w:rPr>
              <w:t>The CCTV survey was reported complete; its findings are not recorded in the visit notes.</w:t>
            </w:r>
          </w:p>
        </w:tc>
        <w:tc>
          <w:tcPr>
            <w:tcW w:type="dxa" w:w="1045"/>
            <w:tcBorders>
              <w:bottom w:val="single" w:sz="4" w:color="C9C9C6"/>
            </w:tcBorders>
          </w:tcPr>
          <w:p>
            <w:pPr>
              <w:spacing w:after="20"/>
            </w:pPr>
            <w:r>
              <w:rPr>
                <w:b w:val="0"/>
                <w:sz w:val="16"/>
                <w:lang w:val="en-GB" w:eastAsia="en-GB" w:bidi="en-GB"/>
              </w:rPr>
            </w:r>
          </w:p>
        </w:tc>
      </w:tr>
      <w:tr>
        <w:trPr>
          <w:cantSplit/>
        </w:trPr>
        <w:tc>
          <w:tcPr>
            <w:tcW w:type="dxa" w:w="697"/>
            <w:tcBorders>
              <w:bottom w:val="single" w:sz="4" w:color="C9C9C6"/>
            </w:tcBorders>
          </w:tcPr>
          <w:p>
            <w:pPr>
              <w:spacing w:after="20"/>
            </w:pPr>
            <w:r>
              <w:rPr>
                <w:b w:val="0"/>
                <w:sz w:val="16"/>
                <w:lang w:val="en-GB" w:eastAsia="en-GB" w:bidi="en-GB"/>
              </w:rPr>
              <w:t>09</w:t>
            </w:r>
          </w:p>
        </w:tc>
        <w:tc>
          <w:tcPr>
            <w:tcW w:type="dxa" w:w="2090"/>
            <w:tcBorders>
              <w:bottom w:val="single" w:sz="4" w:color="C9C9C6"/>
            </w:tcBorders>
          </w:tcPr>
          <w:p>
            <w:pPr>
              <w:spacing w:after="20"/>
            </w:pPr>
            <w:r>
              <w:rPr>
                <w:b w:val="0"/>
                <w:sz w:val="16"/>
                <w:lang w:val="en-GB" w:eastAsia="en-GB" w:bidi="en-GB"/>
              </w:rPr>
              <w:t>Clients’ garage</w:t>
            </w:r>
          </w:p>
        </w:tc>
        <w:tc>
          <w:tcPr>
            <w:tcW w:type="dxa" w:w="5806"/>
            <w:tcBorders>
              <w:bottom w:val="single" w:sz="4" w:color="C9C9C6"/>
            </w:tcBorders>
          </w:tcPr>
          <w:p>
            <w:pPr>
              <w:spacing w:after="20"/>
            </w:pPr>
            <w:r>
              <w:rPr>
                <w:b w:val="0"/>
                <w:sz w:val="16"/>
                <w:lang w:val="en-GB" w:eastAsia="en-GB" w:bidi="en-GB"/>
              </w:rPr>
              <w:t>D10 is stored in the locked garage pending installation.</w:t>
            </w:r>
          </w:p>
        </w:tc>
        <w:tc>
          <w:tcPr>
            <w:tcW w:type="dxa" w:w="1045"/>
            <w:tcBorders>
              <w:bottom w:val="single" w:sz="4" w:color="C9C9C6"/>
            </w:tcBorders>
          </w:tcPr>
          <w:p>
            <w:pPr>
              <w:spacing w:after="20"/>
            </w:pPr>
            <w:r>
              <w:rPr>
                <w:b w:val="0"/>
                <w:sz w:val="16"/>
                <w:lang w:val="en-GB" w:eastAsia="en-GB" w:bidi="en-GB"/>
              </w:rPr>
            </w:r>
          </w:p>
        </w:tc>
      </w:tr>
    </w:tbl>
    <w:p>
      <w:pPr>
        <w:pStyle w:val="SmallPrint"/>
        <w:spacing w:after="80"/>
      </w:pPr>
    </w:p>
    <w:p>
      <w:pPr>
        <w:pStyle w:val="DocumentHeading"/>
      </w:pPr>
      <w:r>
        <w:rPr>
          <w:lang w:val="en-GB" w:eastAsia="en-GB" w:bidi="en-GB"/>
        </w:rPr>
        <w:t>Actions</w:t>
      </w:r>
    </w:p>
    <w:tbl>
      <w:tblPr>
        <w:tblW w:type="auto" w:w="0"/>
        <w:jc w:val="left"/>
        <w:tblLayout w:type="fixed"/>
        <w:tblLook w:firstColumn="1" w:firstRow="1" w:lastColumn="0" w:lastRow="0" w:noHBand="0" w:noVBand="1" w:val="04A0"/>
        <w:tblLayout w:type="fixed"/>
      </w:tblPr>
      <w:tblGrid>
        <w:gridCol w:w="697"/>
        <w:gridCol w:w="5341"/>
        <w:gridCol w:w="2090"/>
        <w:gridCol w:w="1510"/>
      </w:tblGrid>
      <w:tr>
        <w:trPr>
          <w:tblHeader w:val="true"/>
          <w:cantSplit/>
        </w:trPr>
        <w:tc>
          <w:tcPr>
            <w:tcW w:type="dxa" w:w="697"/>
            <w:tcBorders>
              <w:bottom w:val="single" w:sz="6" w:color="1A1A1A"/>
            </w:tcBorders>
          </w:tcPr>
          <w:p>
            <w:r>
              <w:rPr>
                <w:color w:val="555555"/>
                <w:sz w:val="14"/>
                <w:lang w:val="en-GB" w:eastAsia="en-GB" w:bidi="en-GB"/>
              </w:rPr>
              <w:t>Ref.</w:t>
            </w:r>
          </w:p>
        </w:tc>
        <w:tc>
          <w:tcPr>
            <w:tcW w:type="dxa" w:w="5341"/>
            <w:tcBorders>
              <w:bottom w:val="single" w:sz="6" w:color="1A1A1A"/>
            </w:tcBorders>
          </w:tcPr>
          <w:p>
            <w:r>
              <w:rPr>
                <w:color w:val="555555"/>
                <w:sz w:val="14"/>
                <w:lang w:val="en-GB" w:eastAsia="en-GB" w:bidi="en-GB"/>
              </w:rPr>
              <w:t>Action</w:t>
            </w:r>
          </w:p>
        </w:tc>
        <w:tc>
          <w:tcPr>
            <w:tcW w:type="dxa" w:w="2090"/>
            <w:tcBorders>
              <w:bottom w:val="single" w:sz="6" w:color="1A1A1A"/>
            </w:tcBorders>
          </w:tcPr>
          <w:p>
            <w:r>
              <w:rPr>
                <w:color w:val="555555"/>
                <w:sz w:val="14"/>
                <w:lang w:val="en-GB" w:eastAsia="en-GB" w:bidi="en-GB"/>
              </w:rPr>
              <w:t>By</w:t>
            </w:r>
          </w:p>
        </w:tc>
        <w:tc>
          <w:tcPr>
            <w:tcW w:type="dxa" w:w="1510"/>
            <w:tcBorders>
              <w:bottom w:val="single" w:sz="6" w:color="1A1A1A"/>
            </w:tcBorders>
          </w:tcPr>
          <w:p>
            <w:r>
              <w:rPr>
                <w:color w:val="555555"/>
                <w:sz w:val="14"/>
                <w:lang w:val="en-GB" w:eastAsia="en-GB" w:bidi="en-GB"/>
              </w:rPr>
              <w:t>Due</w:t>
            </w:r>
          </w:p>
        </w:tc>
      </w:tr>
      <w:tr>
        <w:trPr>
          <w:cantSplit/>
        </w:trPr>
        <w:tc>
          <w:tcPr>
            <w:tcW w:type="dxa" w:w="697"/>
            <w:tcBorders>
              <w:bottom w:val="single" w:sz="4" w:color="C9C9C6"/>
            </w:tcBorders>
          </w:tcPr>
          <w:p>
            <w:pPr>
              <w:spacing w:after="20"/>
            </w:pPr>
            <w:r>
              <w:rPr>
                <w:b w:val="0"/>
                <w:sz w:val="16"/>
                <w:lang w:val="en-GB" w:eastAsia="en-GB" w:bidi="en-GB"/>
              </w:rPr>
              <w:t>01</w:t>
            </w:r>
          </w:p>
        </w:tc>
        <w:tc>
          <w:tcPr>
            <w:tcW w:type="dxa" w:w="5341"/>
            <w:tcBorders>
              <w:bottom w:val="single" w:sz="4" w:color="C9C9C6"/>
            </w:tcBorders>
          </w:tcPr>
          <w:p>
            <w:pPr>
              <w:spacing w:after="20"/>
            </w:pPr>
            <w:r>
              <w:rPr>
                <w:b w:val="0"/>
                <w:sz w:val="16"/>
                <w:lang w:val="en-GB" w:eastAsia="en-GB" w:bidi="en-GB"/>
              </w:rPr>
              <w:t>Provide the installation record and photographs; arrange verification with us before further concealment.</w:t>
            </w:r>
          </w:p>
        </w:tc>
        <w:tc>
          <w:tcPr>
            <w:tcW w:type="dxa" w:w="2090"/>
            <w:tcBorders>
              <w:bottom w:val="single" w:sz="4" w:color="C9C9C6"/>
            </w:tcBorders>
          </w:tcPr>
          <w:p>
            <w:pPr>
              <w:spacing w:after="20"/>
            </w:pPr>
            <w:r>
              <w:rPr>
                <w:b w:val="0"/>
                <w:sz w:val="16"/>
                <w:lang w:val="en-GB" w:eastAsia="en-GB" w:bidi="en-GB"/>
              </w:rPr>
              <w:t>Hartfield Build Ltd</w:t>
            </w:r>
          </w:p>
        </w:tc>
        <w:tc>
          <w:tcPr>
            <w:tcW w:type="dxa" w:w="1510"/>
            <w:tcBorders>
              <w:bottom w:val="single" w:sz="4" w:color="C9C9C6"/>
            </w:tcBorders>
          </w:tcPr>
          <w:p>
            <w:pPr>
              <w:spacing w:after="20"/>
            </w:pPr>
            <w:r>
              <w:rPr>
                <w:b w:val="0"/>
                <w:sz w:val="16"/>
                <w:lang w:val="en-GB" w:eastAsia="en-GB" w:bidi="en-GB"/>
              </w:rPr>
              <w:t>Before further concealment at D10</w:t>
            </w:r>
          </w:p>
        </w:tc>
      </w:tr>
      <w:tr>
        <w:trPr>
          <w:cantSplit/>
        </w:trPr>
        <w:tc>
          <w:tcPr>
            <w:tcW w:type="dxa" w:w="697"/>
            <w:tcBorders>
              <w:bottom w:val="single" w:sz="4" w:color="C9C9C6"/>
            </w:tcBorders>
          </w:tcPr>
          <w:p>
            <w:pPr>
              <w:spacing w:after="20"/>
            </w:pPr>
            <w:r>
              <w:rPr>
                <w:b w:val="0"/>
                <w:sz w:val="16"/>
                <w:lang w:val="en-GB" w:eastAsia="en-GB" w:bidi="en-GB"/>
              </w:rPr>
              <w:t>02</w:t>
            </w:r>
          </w:p>
        </w:tc>
        <w:tc>
          <w:tcPr>
            <w:tcW w:type="dxa" w:w="5341"/>
            <w:tcBorders>
              <w:bottom w:val="single" w:sz="4" w:color="C9C9C6"/>
            </w:tcBorders>
          </w:tcPr>
          <w:p>
            <w:pPr>
              <w:spacing w:after="20"/>
            </w:pPr>
            <w:r>
              <w:rPr>
                <w:b w:val="0"/>
                <w:sz w:val="16"/>
                <w:lang w:val="en-GB" w:eastAsia="en-GB" w:bidi="en-GB"/>
              </w:rPr>
              <w:t>Provide the delivery note and batch details for comparison with the sample panel. Refer the result to us before continuing the affected facing work.</w:t>
            </w:r>
          </w:p>
        </w:tc>
        <w:tc>
          <w:tcPr>
            <w:tcW w:type="dxa" w:w="2090"/>
            <w:tcBorders>
              <w:bottom w:val="single" w:sz="4" w:color="C9C9C6"/>
            </w:tcBorders>
          </w:tcPr>
          <w:p>
            <w:pPr>
              <w:spacing w:after="20"/>
            </w:pPr>
            <w:r>
              <w:rPr>
                <w:b w:val="0"/>
                <w:sz w:val="16"/>
                <w:lang w:val="en-GB" w:eastAsia="en-GB" w:bidi="en-GB"/>
              </w:rPr>
              <w:t>Hartfield Build Ltd</w:t>
            </w:r>
          </w:p>
        </w:tc>
        <w:tc>
          <w:tcPr>
            <w:tcW w:type="dxa" w:w="1510"/>
            <w:tcBorders>
              <w:bottom w:val="single" w:sz="4" w:color="C9C9C6"/>
            </w:tcBorders>
          </w:tcPr>
          <w:p>
            <w:pPr>
              <w:spacing w:after="20"/>
            </w:pPr>
            <w:r>
              <w:rPr>
                <w:b w:val="0"/>
                <w:sz w:val="16"/>
                <w:lang w:val="en-GB" w:eastAsia="en-GB" w:bidi="en-GB"/>
              </w:rPr>
              <w:t>Before further east flank facing work</w:t>
            </w:r>
          </w:p>
        </w:tc>
      </w:tr>
      <w:tr>
        <w:trPr>
          <w:cantSplit/>
        </w:trPr>
        <w:tc>
          <w:tcPr>
            <w:tcW w:type="dxa" w:w="697"/>
            <w:tcBorders>
              <w:bottom w:val="single" w:sz="4" w:color="C9C9C6"/>
            </w:tcBorders>
          </w:tcPr>
          <w:p>
            <w:pPr>
              <w:spacing w:after="20"/>
            </w:pPr>
            <w:r>
              <w:rPr>
                <w:b w:val="0"/>
                <w:sz w:val="16"/>
                <w:lang w:val="en-GB" w:eastAsia="en-GB" w:bidi="en-GB"/>
              </w:rPr>
              <w:t>03</w:t>
            </w:r>
          </w:p>
        </w:tc>
        <w:tc>
          <w:tcPr>
            <w:tcW w:type="dxa" w:w="5341"/>
            <w:tcBorders>
              <w:bottom w:val="single" w:sz="4" w:color="C9C9C6"/>
            </w:tcBorders>
          </w:tcPr>
          <w:p>
            <w:pPr>
              <w:spacing w:after="20"/>
            </w:pPr>
            <w:r>
              <w:rPr>
                <w:b w:val="0"/>
                <w:sz w:val="16"/>
                <w:lang w:val="en-GB" w:eastAsia="en-GB" w:bidi="en-GB"/>
              </w:rPr>
              <w:t>Provide the visit record and any outstanding surveyor requirements for our review.</w:t>
            </w:r>
          </w:p>
        </w:tc>
        <w:tc>
          <w:tcPr>
            <w:tcW w:type="dxa" w:w="2090"/>
            <w:tcBorders>
              <w:bottom w:val="single" w:sz="4" w:color="C9C9C6"/>
            </w:tcBorders>
          </w:tcPr>
          <w:p>
            <w:pPr>
              <w:spacing w:after="20"/>
            </w:pPr>
            <w:r>
              <w:rPr>
                <w:b w:val="0"/>
                <w:sz w:val="16"/>
                <w:lang w:val="en-GB" w:eastAsia="en-GB" w:bidi="en-GB"/>
              </w:rPr>
              <w:t>Hartfield Build Ltd</w:t>
            </w:r>
          </w:p>
        </w:tc>
        <w:tc>
          <w:tcPr>
            <w:tcW w:type="dxa" w:w="1510"/>
            <w:tcBorders>
              <w:bottom w:val="single" w:sz="4" w:color="C9C9C6"/>
            </w:tcBorders>
          </w:tcPr>
          <w:p>
            <w:pPr>
              <w:spacing w:after="20"/>
            </w:pPr>
            <w:r>
              <w:rPr>
                <w:b w:val="0"/>
                <w:sz w:val="16"/>
                <w:lang w:val="en-GB" w:eastAsia="en-GB" w:bidi="en-GB"/>
              </w:rPr>
              <w:t>Before concealing the pocket</w:t>
            </w:r>
          </w:p>
        </w:tc>
      </w:tr>
      <w:tr>
        <w:trPr>
          <w:cantSplit/>
        </w:trPr>
        <w:tc>
          <w:tcPr>
            <w:tcW w:type="dxa" w:w="697"/>
            <w:tcBorders>
              <w:bottom w:val="single" w:sz="4" w:color="C9C9C6"/>
            </w:tcBorders>
          </w:tcPr>
          <w:p>
            <w:pPr>
              <w:spacing w:after="20"/>
            </w:pPr>
            <w:r>
              <w:rPr>
                <w:b w:val="0"/>
                <w:sz w:val="16"/>
                <w:lang w:val="en-GB" w:eastAsia="en-GB" w:bidi="en-GB"/>
              </w:rPr>
              <w:t>04</w:t>
            </w:r>
          </w:p>
        </w:tc>
        <w:tc>
          <w:tcPr>
            <w:tcW w:type="dxa" w:w="5341"/>
            <w:tcBorders>
              <w:bottom w:val="single" w:sz="4" w:color="C9C9C6"/>
            </w:tcBorders>
          </w:tcPr>
          <w:p>
            <w:pPr>
              <w:spacing w:after="20"/>
            </w:pPr>
            <w:r>
              <w:rPr>
                <w:b w:val="0"/>
                <w:sz w:val="16"/>
                <w:lang w:val="en-GB" w:eastAsia="en-GB" w:bidi="en-GB"/>
              </w:rPr>
              <w:t>Contact building control promptly, provide the available construction records and agree the inspection or evidence needed for the completed slab. Send us the response and foundation inspection record.</w:t>
            </w:r>
          </w:p>
        </w:tc>
        <w:tc>
          <w:tcPr>
            <w:tcW w:type="dxa" w:w="2090"/>
            <w:tcBorders>
              <w:bottom w:val="single" w:sz="4" w:color="C9C9C6"/>
            </w:tcBorders>
          </w:tcPr>
          <w:p>
            <w:pPr>
              <w:spacing w:after="20"/>
            </w:pPr>
            <w:r>
              <w:rPr>
                <w:b w:val="0"/>
                <w:sz w:val="16"/>
                <w:lang w:val="en-GB" w:eastAsia="en-GB" w:bidi="en-GB"/>
              </w:rPr>
              <w:t>Hartfield Build Ltd</w:t>
            </w:r>
          </w:p>
        </w:tc>
        <w:tc>
          <w:tcPr>
            <w:tcW w:type="dxa" w:w="1510"/>
            <w:tcBorders>
              <w:bottom w:val="single" w:sz="4" w:color="C9C9C6"/>
            </w:tcBorders>
          </w:tcPr>
          <w:p>
            <w:pPr>
              <w:spacing w:after="20"/>
            </w:pPr>
            <w:r>
              <w:rPr>
                <w:b w:val="0"/>
                <w:sz w:val="16"/>
                <w:lang w:val="en-GB" w:eastAsia="en-GB" w:bidi="en-GB"/>
              </w:rPr>
              <w:t>Immediately and before further concealment</w:t>
            </w:r>
          </w:p>
        </w:tc>
      </w:tr>
      <w:tr>
        <w:trPr>
          <w:cantSplit/>
        </w:trPr>
        <w:tc>
          <w:tcPr>
            <w:tcW w:type="dxa" w:w="697"/>
            <w:tcBorders>
              <w:bottom w:val="single" w:sz="4" w:color="C9C9C6"/>
            </w:tcBorders>
          </w:tcPr>
          <w:p>
            <w:pPr>
              <w:spacing w:after="20"/>
            </w:pPr>
            <w:r>
              <w:rPr>
                <w:b w:val="0"/>
                <w:sz w:val="16"/>
                <w:lang w:val="en-GB" w:eastAsia="en-GB" w:bidi="en-GB"/>
              </w:rPr>
              <w:t>06</w:t>
            </w:r>
          </w:p>
        </w:tc>
        <w:tc>
          <w:tcPr>
            <w:tcW w:type="dxa" w:w="5341"/>
            <w:tcBorders>
              <w:bottom w:val="single" w:sz="4" w:color="C9C9C6"/>
            </w:tcBorders>
          </w:tcPr>
          <w:p>
            <w:pPr>
              <w:spacing w:after="20"/>
            </w:pPr>
            <w:r>
              <w:rPr>
                <w:b w:val="0"/>
                <w:sz w:val="16"/>
                <w:lang w:val="en-GB" w:eastAsia="en-GB" w:bidi="en-GB"/>
              </w:rPr>
              <w:t>Maintain secure weather protection and confirm the membrane installation date.</w:t>
            </w:r>
          </w:p>
        </w:tc>
        <w:tc>
          <w:tcPr>
            <w:tcW w:type="dxa" w:w="2090"/>
            <w:tcBorders>
              <w:bottom w:val="single" w:sz="4" w:color="C9C9C6"/>
            </w:tcBorders>
          </w:tcPr>
          <w:p>
            <w:pPr>
              <w:spacing w:after="20"/>
            </w:pPr>
            <w:r>
              <w:rPr>
                <w:b w:val="0"/>
                <w:sz w:val="16"/>
                <w:lang w:val="en-GB" w:eastAsia="en-GB" w:bidi="en-GB"/>
              </w:rPr>
              <w:t>Hartfield Build Ltd</w:t>
            </w:r>
          </w:p>
        </w:tc>
        <w:tc>
          <w:tcPr>
            <w:tcW w:type="dxa" w:w="1510"/>
            <w:tcBorders>
              <w:bottom w:val="single" w:sz="4" w:color="C9C9C6"/>
            </w:tcBorders>
          </w:tcPr>
          <w:p>
            <w:pPr>
              <w:spacing w:after="20"/>
            </w:pPr>
            <w:r>
              <w:rPr>
                <w:b w:val="0"/>
                <w:sz w:val="16"/>
                <w:lang w:val="en-GB" w:eastAsia="en-GB" w:bidi="en-GB"/>
              </w:rPr>
              <w:t>Protection ongoing; date before next roofing work</w:t>
            </w:r>
          </w:p>
        </w:tc>
      </w:tr>
      <w:tr>
        <w:trPr>
          <w:cantSplit/>
        </w:trPr>
        <w:tc>
          <w:tcPr>
            <w:tcW w:type="dxa" w:w="697"/>
            <w:tcBorders>
              <w:bottom w:val="single" w:sz="4" w:color="C9C9C6"/>
            </w:tcBorders>
          </w:tcPr>
          <w:p>
            <w:pPr>
              <w:spacing w:after="20"/>
            </w:pPr>
            <w:r>
              <w:rPr>
                <w:b w:val="0"/>
                <w:sz w:val="16"/>
                <w:lang w:val="en-GB" w:eastAsia="en-GB" w:bidi="en-GB"/>
              </w:rPr>
              <w:t>07</w:t>
            </w:r>
          </w:p>
        </w:tc>
        <w:tc>
          <w:tcPr>
            <w:tcW w:type="dxa" w:w="5341"/>
            <w:tcBorders>
              <w:bottom w:val="single" w:sz="4" w:color="C9C9C6"/>
            </w:tcBorders>
          </w:tcPr>
          <w:p>
            <w:pPr>
              <w:spacing w:after="20"/>
            </w:pPr>
            <w:r>
              <w:rPr>
                <w:b w:val="0"/>
                <w:sz w:val="16"/>
                <w:lang w:val="en-GB" w:eastAsia="en-GB" w:bidi="en-GB"/>
              </w:rPr>
              <w:t>Provide an updated programme, recovery proposals and the effect on completion. Notify any anticipated completion delay with its cause and supporting records under clause 2.7.</w:t>
            </w:r>
          </w:p>
        </w:tc>
        <w:tc>
          <w:tcPr>
            <w:tcW w:type="dxa" w:w="2090"/>
            <w:tcBorders>
              <w:bottom w:val="single" w:sz="4" w:color="C9C9C6"/>
            </w:tcBorders>
          </w:tcPr>
          <w:p>
            <w:pPr>
              <w:spacing w:after="20"/>
            </w:pPr>
            <w:r>
              <w:rPr>
                <w:b w:val="0"/>
                <w:sz w:val="16"/>
                <w:lang w:val="en-GB" w:eastAsia="en-GB" w:bidi="en-GB"/>
              </w:rPr>
              <w:t>Hartfield Build Ltd</w:t>
            </w:r>
          </w:p>
        </w:tc>
        <w:tc>
          <w:tcPr>
            <w:tcW w:type="dxa" w:w="1510"/>
            <w:tcBorders>
              <w:bottom w:val="single" w:sz="4" w:color="C9C9C6"/>
            </w:tcBorders>
          </w:tcPr>
          <w:p>
            <w:pPr>
              <w:spacing w:after="20"/>
            </w:pPr>
            <w:r>
              <w:rPr>
                <w:b w:val="0"/>
                <w:sz w:val="16"/>
                <w:lang w:val="en-GB" w:eastAsia="en-GB" w:bidi="en-GB"/>
              </w:rPr>
              <w:t>Promptly on receipt of this report</w:t>
            </w:r>
          </w:p>
        </w:tc>
      </w:tr>
      <w:tr>
        <w:trPr>
          <w:cantSplit/>
        </w:trPr>
        <w:tc>
          <w:tcPr>
            <w:tcW w:type="dxa" w:w="697"/>
            <w:tcBorders>
              <w:bottom w:val="single" w:sz="4" w:color="C9C9C6"/>
            </w:tcBorders>
          </w:tcPr>
          <w:p>
            <w:pPr>
              <w:spacing w:after="20"/>
            </w:pPr>
            <w:r>
              <w:rPr>
                <w:b w:val="0"/>
                <w:sz w:val="16"/>
                <w:lang w:val="en-GB" w:eastAsia="en-GB" w:bidi="en-GB"/>
              </w:rPr>
              <w:t>08</w:t>
            </w:r>
          </w:p>
        </w:tc>
        <w:tc>
          <w:tcPr>
            <w:tcW w:type="dxa" w:w="5341"/>
            <w:tcBorders>
              <w:bottom w:val="single" w:sz="4" w:color="C9C9C6"/>
            </w:tcBorders>
          </w:tcPr>
          <w:p>
            <w:pPr>
              <w:spacing w:after="20"/>
            </w:pPr>
            <w:r>
              <w:rPr>
                <w:b w:val="0"/>
                <w:sz w:val="16"/>
                <w:lang w:val="en-GB" w:eastAsia="en-GB" w:bidi="en-GB"/>
              </w:rPr>
              <w:t>Provide the CCTV report and as-built drainage information, identifying any defects and proposed action.</w:t>
            </w:r>
          </w:p>
        </w:tc>
        <w:tc>
          <w:tcPr>
            <w:tcW w:type="dxa" w:w="2090"/>
            <w:tcBorders>
              <w:bottom w:val="single" w:sz="4" w:color="C9C9C6"/>
            </w:tcBorders>
          </w:tcPr>
          <w:p>
            <w:pPr>
              <w:spacing w:after="20"/>
            </w:pPr>
            <w:r>
              <w:rPr>
                <w:b w:val="0"/>
                <w:sz w:val="16"/>
                <w:lang w:val="en-GB" w:eastAsia="en-GB" w:bidi="en-GB"/>
              </w:rPr>
              <w:t>Hartfield Build Ltd</w:t>
            </w:r>
          </w:p>
        </w:tc>
        <w:tc>
          <w:tcPr>
            <w:tcW w:type="dxa" w:w="1510"/>
            <w:tcBorders>
              <w:bottom w:val="single" w:sz="4" w:color="C9C9C6"/>
            </w:tcBorders>
          </w:tcPr>
          <w:p>
            <w:pPr>
              <w:spacing w:after="20"/>
            </w:pPr>
            <w:r>
              <w:rPr>
                <w:b w:val="0"/>
                <w:sz w:val="16"/>
                <w:lang w:val="en-GB" w:eastAsia="en-GB" w:bidi="en-GB"/>
              </w:rPr>
              <w:t>Before closing out drainage work</w:t>
            </w:r>
          </w:p>
        </w:tc>
      </w:tr>
      <w:tr>
        <w:trPr>
          <w:cantSplit/>
        </w:trPr>
        <w:tc>
          <w:tcPr>
            <w:tcW w:type="dxa" w:w="697"/>
            <w:tcBorders>
              <w:bottom w:val="single" w:sz="4" w:color="C9C9C6"/>
            </w:tcBorders>
          </w:tcPr>
          <w:p>
            <w:pPr>
              <w:spacing w:after="20"/>
            </w:pPr>
            <w:r>
              <w:rPr>
                <w:b w:val="0"/>
                <w:sz w:val="16"/>
                <w:lang w:val="en-GB" w:eastAsia="en-GB" w:bidi="en-GB"/>
              </w:rPr>
              <w:t>09</w:t>
            </w:r>
          </w:p>
        </w:tc>
        <w:tc>
          <w:tcPr>
            <w:tcW w:type="dxa" w:w="5341"/>
            <w:tcBorders>
              <w:bottom w:val="single" w:sz="4" w:color="C9C9C6"/>
            </w:tcBorders>
          </w:tcPr>
          <w:p>
            <w:pPr>
              <w:spacing w:after="20"/>
            </w:pPr>
            <w:r>
              <w:rPr>
                <w:b w:val="0"/>
                <w:sz w:val="16"/>
                <w:lang w:val="en-GB" w:eastAsia="en-GB" w:bidi="en-GB"/>
              </w:rPr>
              <w:t>Keep the garage available and secure, coordinate installation access with the Contractor and confirm that the household insurer has been notified of the works and materials stored there.</w:t>
            </w:r>
          </w:p>
        </w:tc>
        <w:tc>
          <w:tcPr>
            <w:tcW w:type="dxa" w:w="2090"/>
            <w:tcBorders>
              <w:bottom w:val="single" w:sz="4" w:color="C9C9C6"/>
            </w:tcBorders>
          </w:tcPr>
          <w:p>
            <w:pPr>
              <w:spacing w:after="20"/>
            </w:pPr>
            <w:r>
              <w:rPr>
                <w:b w:val="0"/>
                <w:sz w:val="16"/>
                <w:lang w:val="en-GB" w:eastAsia="en-GB" w:bidi="en-GB"/>
              </w:rPr>
              <w:t>Mr A. Sample and Mrs B. Sample</w:t>
            </w:r>
          </w:p>
        </w:tc>
        <w:tc>
          <w:tcPr>
            <w:tcW w:type="dxa" w:w="1510"/>
            <w:tcBorders>
              <w:bottom w:val="single" w:sz="4" w:color="C9C9C6"/>
            </w:tcBorders>
          </w:tcPr>
          <w:p>
            <w:pPr>
              <w:spacing w:after="20"/>
            </w:pPr>
            <w:r>
              <w:rPr>
                <w:b w:val="0"/>
                <w:sz w:val="16"/>
                <w:lang w:val="en-GB" w:eastAsia="en-GB" w:bidi="en-GB"/>
              </w:rPr>
              <w:t>Before installation access; insurance confirmation promptly</w:t>
            </w:r>
          </w:p>
        </w:tc>
      </w:tr>
    </w:tbl>
    <w:p>
      <w:pPr>
        <w:pStyle w:val="SmallPrint"/>
        <w:spacing w:after="80"/>
      </w:pPr>
    </w:p>
    <w:p>
      <w:pPr>
        <w:pStyle w:val="DocumentHeading"/>
      </w:pPr>
      <w:r>
        <w:rPr>
          <w:lang w:val="en-GB" w:eastAsia="en-GB" w:bidi="en-GB"/>
        </w:rPr>
        <w:t>Instructions needed</w:t>
      </w:r>
    </w:p>
    <w:p>
      <w:pPr>
        <w:tabs>
          <w:tab w:pos="283" w:val="left"/>
        </w:tabs>
        <w:spacing w:after="40"/>
        <w:ind w:left="283" w:hanging="283"/>
      </w:pPr>
      <w:r>
        <w:rPr>
          <w:lang w:val="en-GB" w:eastAsia="en-GB" w:bidi="en-GB"/>
        </w:rPr>
        <w:t>–</w:t>
        <w:tab/>
        <w:t>No numbered instruction is recorded as issued during this visit. This report records observations and follow-up actions; any change to the Works will be instructed separately.</w:t>
      </w:r>
    </w:p>
    <w:p>
      <w:pPr>
        <w:pStyle w:val="DocumentHeading"/>
      </w:pPr>
      <w:r>
        <w:rPr>
          <w:lang w:val="en-GB" w:eastAsia="en-GB" w:bidi="en-GB"/>
        </w:rPr>
        <w:t>Inspection basis</w:t>
      </w:r>
    </w:p>
    <w:p>
      <w:pPr>
        <w:keepNext w:val="0"/>
      </w:pPr>
      <w:r>
        <w:rPr>
          <w:lang w:val="en-GB" w:eastAsia="en-GB" w:bidi="en-GB"/>
        </w:rPr>
        <w:t>This report records a periodic visual inspection of accessible work, not continuous supervision. The Contractor remains responsible for directing and carrying out the Works. Concealed work has not been verified by this report.</w:t>
      </w:r>
    </w:p>
    <w:p>
      <w:pPr>
        <w:keepNext w:val="0"/>
      </w:pPr>
      <w:r>
        <w:rPr>
          <w:lang w:val="en-GB" w:eastAsia="en-GB" w:bidi="en-GB"/>
        </w:rPr>
        <w:t>Photographs P1–P8 are referenced in the visit notes but were not supplied with this report. The cavity-tray photograph reference P3 is retained for identification; no photograph is enclosed.</w:t>
      </w:r>
    </w:p>
    <w:p>
      <w:pPr>
        <w:keepNext w:val="0"/>
      </w:pPr>
      <w:r>
        <w:rPr>
          <w:lang w:val="en-GB" w:eastAsia="en-GB" w:bidi="en-GB"/>
        </w:rPr>
        <w:t>The stated action times are follow-up requirements in this report; the notes do not record agreed deadlines.</w:t>
      </w:r>
    </w:p>
    <w:p>
      <w:pPr>
        <w:keepNext w:val="0"/>
      </w:pPr>
      <w:r>
        <w:rPr>
          <w:lang w:val="en-GB" w:eastAsia="en-GB" w:bidi="en-GB"/>
        </w:rPr>
        <w:t>Next visit: Arrange with the Contractor to suit the next inspection stage.</w:t>
      </w:r>
    </w:p>
    <w:p>
      <w:pPr>
        <w:pStyle w:val="SmallPrint"/>
        <w:keepNext w:val="0"/>
      </w:pPr>
      <w:r>
        <w:rPr>
          <w:lang w:val="en-GB" w:eastAsia="en-GB" w:bidi="en-GB"/>
        </w:rPr>
        <w:t>This report records a periodic visit to inspect the general progress and quality of the work. It is not supervision: the Contractor remains responsible for supervising and carrying out the work in accordance with the contract.</w:t>
      </w:r>
    </w:p>
    <w:p>
      <w:pPr>
        <w:pStyle w:val="DocumentHeading"/>
      </w:pPr>
      <w:r>
        <w:rPr>
          <w:lang w:val="en-GB" w:eastAsia="en-GB" w:bidi="en-GB"/>
        </w:rPr>
        <w:t>Distribution</w:t>
      </w:r>
    </w:p>
    <w:tbl>
      <w:tblPr>
        <w:tblW w:type="auto" w:w="0"/>
        <w:jc w:val="left"/>
        <w:tblLayout w:type="fixed"/>
        <w:tblLook w:firstColumn="1" w:firstRow="1" w:lastColumn="0" w:lastRow="0" w:noHBand="0" w:noVBand="1" w:val="04A0"/>
        <w:tblLayout w:type="fixed"/>
      </w:tblPr>
      <w:tblGrid>
        <w:gridCol w:w="2650"/>
        <w:gridCol w:w="2891"/>
        <w:gridCol w:w="2409"/>
        <w:gridCol w:w="1687"/>
      </w:tblGrid>
      <w:tr>
        <w:trPr>
          <w:tblHeader w:val="true"/>
          <w:cantSplit/>
        </w:trPr>
        <w:tc>
          <w:tcPr>
            <w:tcW w:type="dxa" w:w="2650"/>
            <w:tcBorders>
              <w:bottom w:val="single" w:sz="6" w:color="1A1A1A"/>
            </w:tcBorders>
          </w:tcPr>
          <w:p>
            <w:r>
              <w:rPr>
                <w:color w:val="555555"/>
                <w:sz w:val="14"/>
                <w:lang w:val="en-GB" w:eastAsia="en-GB" w:bidi="en-GB"/>
              </w:rPr>
              <w:t>Name</w:t>
            </w:r>
          </w:p>
        </w:tc>
        <w:tc>
          <w:tcPr>
            <w:tcW w:type="dxa" w:w="2891"/>
            <w:tcBorders>
              <w:bottom w:val="single" w:sz="6" w:color="1A1A1A"/>
            </w:tcBorders>
          </w:tcPr>
          <w:p>
            <w:r>
              <w:rPr>
                <w:color w:val="555555"/>
                <w:sz w:val="14"/>
                <w:lang w:val="en-GB" w:eastAsia="en-GB" w:bidi="en-GB"/>
              </w:rPr>
              <w:t>Organisation</w:t>
            </w:r>
          </w:p>
        </w:tc>
        <w:tc>
          <w:tcPr>
            <w:tcW w:type="dxa" w:w="2409"/>
            <w:tcBorders>
              <w:bottom w:val="single" w:sz="6" w:color="1A1A1A"/>
            </w:tcBorders>
          </w:tcPr>
          <w:p>
            <w:r>
              <w:rPr>
                <w:color w:val="555555"/>
                <w:sz w:val="14"/>
                <w:lang w:val="en-GB" w:eastAsia="en-GB" w:bidi="en-GB"/>
              </w:rPr>
              <w:t>Role</w:t>
            </w:r>
          </w:p>
        </w:tc>
        <w:tc>
          <w:tcPr>
            <w:tcW w:type="dxa" w:w="1687"/>
            <w:tcBorders>
              <w:bottom w:val="single" w:sz="6" w:color="1A1A1A"/>
            </w:tcBorders>
          </w:tcPr>
          <w:p>
            <w:r>
              <w:rPr>
                <w:color w:val="555555"/>
                <w:sz w:val="14"/>
                <w:lang w:val="en-GB" w:eastAsia="en-GB" w:bidi="en-GB"/>
              </w:rPr>
              <w:t>Sent via</w:t>
            </w:r>
          </w:p>
        </w:tc>
      </w:tr>
      <w:tr>
        <w:trPr>
          <w:cantSplit/>
        </w:trPr>
        <w:tc>
          <w:tcPr>
            <w:tcW w:type="dxa" w:w="2650"/>
            <w:tcBorders>
              <w:bottom w:val="single" w:sz="4" w:color="C9C9C6"/>
            </w:tcBorders>
          </w:tcPr>
          <w:p>
            <w:pPr>
              <w:spacing w:after="20"/>
            </w:pPr>
            <w:r>
              <w:rPr>
                <w:b w:val="0"/>
                <w:sz w:val="16"/>
                <w:lang w:val="en-GB" w:eastAsia="en-GB" w:bidi="en-GB"/>
              </w:rPr>
              <w:t>Hartfield Build Ltd</w:t>
            </w:r>
          </w:p>
        </w:tc>
        <w:tc>
          <w:tcPr>
            <w:tcW w:type="dxa" w:w="2891"/>
            <w:tcBorders>
              <w:bottom w:val="single" w:sz="4" w:color="C9C9C6"/>
            </w:tcBorders>
          </w:tcPr>
          <w:p>
            <w:pPr>
              <w:spacing w:after="20"/>
            </w:pPr>
            <w:r>
              <w:rPr>
                <w:b w:val="0"/>
                <w:sz w:val="16"/>
                <w:lang w:val="en-GB" w:eastAsia="en-GB" w:bidi="en-GB"/>
              </w:rPr>
            </w:r>
          </w:p>
        </w:tc>
        <w:tc>
          <w:tcPr>
            <w:tcW w:type="dxa" w:w="2409"/>
            <w:tcBorders>
              <w:bottom w:val="single" w:sz="4" w:color="C9C9C6"/>
            </w:tcBorders>
          </w:tcPr>
          <w:p>
            <w:pPr>
              <w:spacing w:after="20"/>
            </w:pPr>
            <w:r>
              <w:rPr>
                <w:b w:val="0"/>
                <w:sz w:val="16"/>
                <w:lang w:val="en-GB" w:eastAsia="en-GB" w:bidi="en-GB"/>
              </w:rPr>
              <w:t>Contractor and principal contractor</w:t>
            </w:r>
          </w:p>
        </w:tc>
        <w:tc>
          <w:tcPr>
            <w:tcW w:type="dxa" w:w="1687"/>
            <w:tcBorders>
              <w:bottom w:val="single" w:sz="4" w:color="C9C9C6"/>
            </w:tcBorders>
          </w:tcPr>
          <w:p>
            <w:pPr>
              <w:spacing w:after="20"/>
            </w:pPr>
            <w:r>
              <w:rPr>
                <w:b w:val="0"/>
                <w:sz w:val="16"/>
                <w:lang w:val="en-GB" w:eastAsia="en-GB" w:bidi="en-GB"/>
              </w:rPr>
            </w:r>
          </w:p>
        </w:tc>
      </w:tr>
      <w:tr>
        <w:trPr>
          <w:cantSplit/>
        </w:trPr>
        <w:tc>
          <w:tcPr>
            <w:tcW w:type="dxa" w:w="2650"/>
            <w:tcBorders>
              <w:bottom w:val="single" w:sz="4" w:color="C9C9C6"/>
            </w:tcBorders>
          </w:tcPr>
          <w:p>
            <w:pPr>
              <w:spacing w:after="20"/>
            </w:pPr>
            <w:r>
              <w:rPr>
                <w:b w:val="0"/>
                <w:sz w:val="16"/>
                <w:lang w:val="en-GB" w:eastAsia="en-GB" w:bidi="en-GB"/>
              </w:rPr>
              <w:t>Mr A. Sample and Mrs B. Sample</w:t>
            </w:r>
          </w:p>
        </w:tc>
        <w:tc>
          <w:tcPr>
            <w:tcW w:type="dxa" w:w="2891"/>
            <w:tcBorders>
              <w:bottom w:val="single" w:sz="4" w:color="C9C9C6"/>
            </w:tcBorders>
          </w:tcPr>
          <w:p>
            <w:pPr>
              <w:spacing w:after="20"/>
            </w:pPr>
            <w:r>
              <w:rPr>
                <w:b w:val="0"/>
                <w:sz w:val="16"/>
                <w:lang w:val="en-GB" w:eastAsia="en-GB" w:bidi="en-GB"/>
              </w:rPr>
            </w:r>
          </w:p>
        </w:tc>
        <w:tc>
          <w:tcPr>
            <w:tcW w:type="dxa" w:w="2409"/>
            <w:tcBorders>
              <w:bottom w:val="single" w:sz="4" w:color="C9C9C6"/>
            </w:tcBorders>
          </w:tcPr>
          <w:p>
            <w:pPr>
              <w:spacing w:after="20"/>
            </w:pPr>
            <w:r>
              <w:rPr>
                <w:b w:val="0"/>
                <w:sz w:val="16"/>
                <w:lang w:val="en-GB" w:eastAsia="en-GB" w:bidi="en-GB"/>
              </w:rPr>
              <w:t>Employer</w:t>
            </w:r>
          </w:p>
        </w:tc>
        <w:tc>
          <w:tcPr>
            <w:tcW w:type="dxa" w:w="1687"/>
            <w:tcBorders>
              <w:bottom w:val="single" w:sz="4" w:color="C9C9C6"/>
            </w:tcBorders>
          </w:tcPr>
          <w:p>
            <w:pPr>
              <w:spacing w:after="20"/>
            </w:pPr>
            <w:r>
              <w:rPr>
                <w:b w:val="0"/>
                <w:sz w:val="16"/>
                <w:lang w:val="en-GB" w:eastAsia="en-GB" w:bidi="en-GB"/>
              </w:rPr>
            </w:r>
          </w:p>
        </w:tc>
      </w:tr>
      <w:tr>
        <w:trPr>
          <w:cantSplit/>
        </w:trPr>
        <w:tc>
          <w:tcPr>
            <w:tcW w:type="dxa" w:w="2650"/>
            <w:tcBorders>
              <w:bottom w:val="single" w:sz="4" w:color="C9C9C6"/>
            </w:tcBorders>
          </w:tcPr>
          <w:p>
            <w:pPr>
              <w:spacing w:after="20"/>
            </w:pPr>
            <w:r>
              <w:rPr>
                <w:b w:val="0"/>
                <w:sz w:val="16"/>
                <w:lang w:val="en-GB" w:eastAsia="en-GB" w:bidi="en-GB"/>
              </w:rPr>
              <w:t>Harbour Lane Architects Ltd</w:t>
            </w:r>
          </w:p>
        </w:tc>
        <w:tc>
          <w:tcPr>
            <w:tcW w:type="dxa" w:w="2891"/>
            <w:tcBorders>
              <w:bottom w:val="single" w:sz="4" w:color="C9C9C6"/>
            </w:tcBorders>
          </w:tcPr>
          <w:p>
            <w:pPr>
              <w:spacing w:after="20"/>
            </w:pPr>
            <w:r>
              <w:rPr>
                <w:b w:val="0"/>
                <w:sz w:val="16"/>
                <w:lang w:val="en-GB" w:eastAsia="en-GB" w:bidi="en-GB"/>
              </w:rPr>
            </w:r>
          </w:p>
        </w:tc>
        <w:tc>
          <w:tcPr>
            <w:tcW w:type="dxa" w:w="2409"/>
            <w:tcBorders>
              <w:bottom w:val="single" w:sz="4" w:color="C9C9C6"/>
            </w:tcBorders>
          </w:tcPr>
          <w:p>
            <w:pPr>
              <w:spacing w:after="20"/>
            </w:pPr>
            <w:r>
              <w:rPr>
                <w:b w:val="0"/>
                <w:sz w:val="16"/>
                <w:lang w:val="en-GB" w:eastAsia="en-GB" w:bidi="en-GB"/>
              </w:rPr>
              <w:t>Contract Administrator and principal designer</w:t>
            </w:r>
          </w:p>
        </w:tc>
        <w:tc>
          <w:tcPr>
            <w:tcW w:type="dxa" w:w="1687"/>
            <w:tcBorders>
              <w:bottom w:val="single" w:sz="4" w:color="C9C9C6"/>
            </w:tcBorders>
          </w:tcPr>
          <w:p>
            <w:pPr>
              <w:spacing w:after="20"/>
            </w:pPr>
            <w:r>
              <w:rPr>
                <w:b w:val="0"/>
                <w:sz w:val="16"/>
                <w:lang w:val="en-GB" w:eastAsia="en-GB" w:bidi="en-GB"/>
              </w:rPr>
            </w:r>
          </w:p>
        </w:tc>
      </w:tr>
    </w:tbl>
    <w:p>
      <w:pPr>
        <w:pStyle w:val="SmallPrint"/>
        <w:spacing w:after="80"/>
      </w:pPr>
    </w:p>
    <w:p>
      <w:pPr>
        <w:pStyle w:val="SmallPrint"/>
        <w:keepNext/>
        <w:spacing w:after="440"/>
      </w:pPr>
    </w:p>
    <w:tbl>
      <w:tblPr>
        <w:tblW w:type="auto" w:w="0"/>
        <w:tblLayout w:type="fixed"/>
        <w:tblLook w:firstColumn="1" w:firstRow="1" w:lastColumn="0" w:lastRow="0" w:noHBand="0" w:noVBand="1" w:val="04A0"/>
        <w:tblLayout w:type="fixed"/>
      </w:tblPr>
      <w:tblGrid>
        <w:gridCol w:w="4649"/>
      </w:tblGrid>
      <w:tr>
        <w:trPr>
          <w:cantSplit/>
        </w:trPr>
        <w:tc>
          <w:tcPr>
            <w:tcW w:type="dxa" w:w="4649"/>
            <w:tcBorders>
              <w:top w:val="single" w:sz="6" w:color="1A1A1A"/>
            </w:tcBorders>
          </w:tcPr>
          <w:p>
            <w:pPr>
              <w:spacing w:before="40"/>
            </w:pPr>
            <w:r>
              <w:rPr>
                <w:b w:val="0"/>
                <w:color w:val="555555"/>
                <w:sz w:val="15"/>
                <w:lang w:val="en-GB" w:eastAsia="en-GB" w:bidi="en-GB"/>
              </w:rPr>
              <w:t>Signed</w:t>
              <w:br/>
            </w:r>
            <w:r>
              <w:rPr>
                <w:b/>
                <w:color w:val="1A1A1A"/>
                <w:sz w:val="15"/>
                <w:lang w:val="en-GB" w:eastAsia="en-GB" w:bidi="en-GB"/>
              </w:rPr>
              <w:t>Jane Harper</w:t>
              <w:br/>
            </w:r>
            <w:r>
              <w:rPr>
                <w:b w:val="0"/>
                <w:color w:val="1A1A1A"/>
                <w:sz w:val="15"/>
                <w:lang w:val="en-GB" w:eastAsia="en-GB" w:bidi="en-GB"/>
              </w:rPr>
              <w:t>Architect (ARB 0612345)</w:t>
              <w:br/>
            </w:r>
            <w:r>
              <w:rPr>
                <w:b w:val="0"/>
                <w:color w:val="1A1A1A"/>
                <w:sz w:val="15"/>
                <w:lang w:val="en-GB" w:eastAsia="en-GB" w:bidi="en-GB"/>
              </w:rPr>
              <w:t>for and on behalf of Harbour Lane Architects Ltd</w:t>
            </w:r>
          </w:p>
        </w:tc>
      </w:tr>
    </w:tbl>
    <w:p>
      <w:pPr>
        <w:pStyle w:val="SmallPrint"/>
      </w:pPr>
    </w:p>
    <w:sectPr w:rsidR="00FC693F" w:rsidRPr="0006063C" w:rsidSect="00034616">
      <w:headerReference w:type="first" r:id="rId9"/>
      <w:headerReference w:type="default" r:id="rId10"/>
      <w:footerReference w:type="first" r:id="rId11"/>
      <w:footerReference w:type="default" r:id="rId12"/>
      <w:pgSz w:w="11906" w:h="16838"/>
      <w:pgMar w:top="1701" w:right="1134" w:bottom="1474" w:left="1134" w:header="680"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ter">
    <w:altName w:val="Arial"/>
    <w:family w:val="swiss"/>
    <w:pitch w:val="variable"/>
    <w:embedRegular r:id="rId1" w:fontKey="{E2B2AB12-083E-4ABE-993C-195969D72B25}"/>
    <w:embedBold r:id="rId2" w:fontKey="{52DCB5D2-B3C4-4CB9-9AE7-31AA9AC2C00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color w:val="555555"/>
        <w:sz w:val="13"/>
        <w:lang w:val="en-GB" w:eastAsia="en-GB" w:bidi="en-GB"/>
      </w:rPr>
      <w:t>Harbour Lane Architects Ltd · Registered in England and Wales, company no. 12345678 · Registered office: 12 Harbour Lane, London SE1 9AA · VAT no. GB123456789</w:t>
    </w:r>
  </w:p>
  <w:p>
    <w:pPr>
      <w:jc w:val="right"/>
    </w:pPr>
    <w:r>
      <w:rPr>
        <w:color w:val="555555"/>
        <w:sz w:val="14"/>
        <w:lang w:val="en-GB" w:eastAsia="en-GB" w:bidi="en-GB"/>
      </w:rPr>
      <w:t xml:space="preserve">Page </w:t>
    </w:r>
    <w:r>
      <w:rPr>
        <w:b w:val="0"/>
        <w:sz w:val="14"/>
        <w:lang w:val="en-GB" w:eastAsia="en-GB" w:bidi="en-GB"/>
      </w:rPr>
      <w:fldChar w:fldCharType="begin"/>
    </w:r>
    <w:r>
      <w:rPr>
        <w:b w:val="0"/>
        <w:sz w:val="14"/>
        <w:lang w:val="en-GB" w:eastAsia="en-GB" w:bidi="en-GB"/>
      </w:rPr>
      <w:instrText xml:space="preserve"> PAGE </w:instrText>
    </w:r>
    <w:r>
      <w:rPr>
        <w:b w:val="0"/>
        <w:sz w:val="14"/>
        <w:lang w:val="en-GB" w:eastAsia="en-GB" w:bidi="en-GB"/>
      </w:rPr>
      <w:fldChar w:fldCharType="separate"/>
    </w:r>
    <w:r>
      <w:rPr>
        <w:b w:val="0"/>
        <w:sz w:val="14"/>
        <w:lang w:val="en-GB" w:eastAsia="en-GB" w:bidi="en-GB"/>
      </w:rPr>
      <w:t>1</w:t>
    </w:r>
    <w:r>
      <w:rPr>
        <w:b w:val="0"/>
        <w:sz w:val="14"/>
        <w:lang w:val="en-GB" w:eastAsia="en-GB" w:bidi="en-GB"/>
      </w:rPr>
      <w:fldChar w:fldCharType="end"/>
    </w:r>
    <w:r>
      <w:rPr>
        <w:color w:val="555555"/>
        <w:sz w:val="14"/>
        <w:lang w:val="en-GB" w:eastAsia="en-GB" w:bidi="en-GB"/>
      </w:rPr>
      <w:t xml:space="preserve"> of </w:t>
    </w:r>
    <w:r>
      <w:rPr>
        <w:b w:val="0"/>
        <w:sz w:val="14"/>
        <w:lang w:val="en-GB" w:eastAsia="en-GB" w:bidi="en-GB"/>
      </w:rPr>
      <w:fldChar w:fldCharType="begin"/>
    </w:r>
    <w:r>
      <w:rPr>
        <w:b w:val="0"/>
        <w:sz w:val="14"/>
        <w:lang w:val="en-GB" w:eastAsia="en-GB" w:bidi="en-GB"/>
      </w:rPr>
      <w:instrText xml:space="preserve"> NUMPAGES </w:instrText>
    </w:r>
    <w:r>
      <w:rPr>
        <w:b w:val="0"/>
        <w:sz w:val="14"/>
        <w:lang w:val="en-GB" w:eastAsia="en-GB" w:bidi="en-GB"/>
      </w:rPr>
      <w:fldChar w:fldCharType="separate"/>
    </w:r>
    <w:r>
      <w:rPr>
        <w:b w:val="0"/>
        <w:sz w:val="14"/>
        <w:lang w:val="en-GB" w:eastAsia="en-GB" w:bidi="en-GB"/>
      </w:rPr>
      <w:t>1</w:t>
    </w:r>
    <w:r>
      <w:rPr>
        <w:b w:val="0"/>
        <w:sz w:val="14"/>
        <w:lang w:val="en-GB" w:eastAsia="en-GB" w:bidi="en-GB"/>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color w:val="555555"/>
        <w:sz w:val="13"/>
        <w:lang w:val="en-GB" w:eastAsia="en-GB" w:bidi="en-GB"/>
      </w:rPr>
      <w:t>Harbour Lane Architects Ltd · Registered in England and Wales, company no. 12345678 · Registered office: 12 Harbour Lane, London SE1 9AA · VAT no. GB123456789</w:t>
    </w:r>
  </w:p>
  <w:p>
    <w:pPr>
      <w:jc w:val="right"/>
    </w:pPr>
    <w:r>
      <w:rPr>
        <w:color w:val="555555"/>
        <w:sz w:val="14"/>
        <w:lang w:val="en-GB" w:eastAsia="en-GB" w:bidi="en-GB"/>
      </w:rPr>
      <w:t xml:space="preserve">Page </w:t>
    </w:r>
    <w:r>
      <w:rPr>
        <w:b w:val="0"/>
        <w:sz w:val="14"/>
        <w:lang w:val="en-GB" w:eastAsia="en-GB" w:bidi="en-GB"/>
      </w:rPr>
      <w:fldChar w:fldCharType="begin"/>
    </w:r>
    <w:r>
      <w:rPr>
        <w:b w:val="0"/>
        <w:sz w:val="14"/>
        <w:lang w:val="en-GB" w:eastAsia="en-GB" w:bidi="en-GB"/>
      </w:rPr>
      <w:instrText xml:space="preserve"> PAGE </w:instrText>
    </w:r>
    <w:r>
      <w:rPr>
        <w:b w:val="0"/>
        <w:sz w:val="14"/>
        <w:lang w:val="en-GB" w:eastAsia="en-GB" w:bidi="en-GB"/>
      </w:rPr>
      <w:fldChar w:fldCharType="separate"/>
    </w:r>
    <w:r>
      <w:rPr>
        <w:b w:val="0"/>
        <w:sz w:val="14"/>
        <w:lang w:val="en-GB" w:eastAsia="en-GB" w:bidi="en-GB"/>
      </w:rPr>
      <w:t>1</w:t>
    </w:r>
    <w:r>
      <w:rPr>
        <w:b w:val="0"/>
        <w:sz w:val="14"/>
        <w:lang w:val="en-GB" w:eastAsia="en-GB" w:bidi="en-GB"/>
      </w:rPr>
      <w:fldChar w:fldCharType="end"/>
    </w:r>
    <w:r>
      <w:rPr>
        <w:color w:val="555555"/>
        <w:sz w:val="14"/>
        <w:lang w:val="en-GB" w:eastAsia="en-GB" w:bidi="en-GB"/>
      </w:rPr>
      <w:t xml:space="preserve"> of </w:t>
    </w:r>
    <w:r>
      <w:rPr>
        <w:b w:val="0"/>
        <w:sz w:val="14"/>
        <w:lang w:val="en-GB" w:eastAsia="en-GB" w:bidi="en-GB"/>
      </w:rPr>
      <w:fldChar w:fldCharType="begin"/>
    </w:r>
    <w:r>
      <w:rPr>
        <w:b w:val="0"/>
        <w:sz w:val="14"/>
        <w:lang w:val="en-GB" w:eastAsia="en-GB" w:bidi="en-GB"/>
      </w:rPr>
      <w:instrText xml:space="preserve"> NUMPAGES </w:instrText>
    </w:r>
    <w:r>
      <w:rPr>
        <w:b w:val="0"/>
        <w:sz w:val="14"/>
        <w:lang w:val="en-GB" w:eastAsia="en-GB" w:bidi="en-GB"/>
      </w:rPr>
      <w:fldChar w:fldCharType="separate"/>
    </w:r>
    <w:r>
      <w:rPr>
        <w:b w:val="0"/>
        <w:sz w:val="14"/>
        <w:lang w:val="en-GB" w:eastAsia="en-GB" w:bidi="en-GB"/>
      </w:rPr>
      <w:t>1</w:t>
    </w:r>
    <w:r>
      <w:rPr>
        <w:b w:val="0"/>
        <w:sz w:val="14"/>
        <w:lang w:val="en-GB" w:eastAsia="en-GB" w:bidi="en-GB"/>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lang w:val="en-GB" w:eastAsia="en-GB" w:bidi="en-GB"/>
      </w:rPr>
    </w:r>
  </w:p>
  <w:tbl>
    <w:tblPr>
      <w:tblW w:type="auto" w:w="0"/>
      <w:tblLayout w:type="fixed"/>
      <w:tblLook w:firstColumn="1" w:firstRow="1" w:lastColumn="0" w:lastRow="0" w:noHBand="0" w:noVBand="1" w:val="04A0"/>
      <w:tblLayout w:type="fixed"/>
    </w:tblPr>
    <w:tblGrid>
      <w:gridCol w:w="5301"/>
      <w:gridCol w:w="4337"/>
    </w:tblGrid>
    <w:tr>
      <w:tc>
        <w:tcPr>
          <w:tcW w:type="dxa" w:w="5301"/>
        </w:tcPr>
        <w:p>
          <w:r>
            <w:rPr>
              <w:b/>
              <w:sz w:val="28"/>
              <w:lang w:val="en-GB" w:eastAsia="en-GB" w:bidi="en-GB"/>
            </w:rPr>
            <w:t>Harbour Lane Architects Ltd</w:t>
          </w:r>
        </w:p>
      </w:tc>
      <w:tc>
        <w:tcPr>
          <w:tcW w:type="dxa" w:w="4337"/>
        </w:tcPr>
        <w:p>
          <w:pPr>
            <w:spacing w:after="0"/>
            <w:jc w:val="right"/>
          </w:pPr>
          <w:r>
            <w:rPr>
              <w:color w:val="555555"/>
              <w:sz w:val="15"/>
              <w:lang w:val="en-GB" w:eastAsia="en-GB" w:bidi="en-GB"/>
            </w:rPr>
            <w:t>12 Harbour Lane</w:t>
            <w:br/>
          </w:r>
          <w:r>
            <w:rPr>
              <w:color w:val="555555"/>
              <w:sz w:val="15"/>
              <w:lang w:val="en-GB" w:eastAsia="en-GB" w:bidi="en-GB"/>
            </w:rPr>
            <w:t>London</w:t>
            <w:br/>
          </w:r>
          <w:r>
            <w:rPr>
              <w:color w:val="555555"/>
              <w:sz w:val="15"/>
              <w:lang w:val="en-GB" w:eastAsia="en-GB" w:bidi="en-GB"/>
            </w:rPr>
            <w:t>SE1 9AA</w:t>
            <w:br/>
          </w:r>
          <w:r>
            <w:rPr>
              <w:color w:val="555555"/>
              <w:sz w:val="15"/>
              <w:lang w:val="en-GB" w:eastAsia="en-GB" w:bidi="en-GB"/>
            </w:rPr>
            <w:br/>
          </w:r>
          <w:r>
            <w:rPr>
              <w:color w:val="555555"/>
              <w:sz w:val="15"/>
              <w:lang w:val="en-GB" w:eastAsia="en-GB" w:bidi="en-GB"/>
            </w:rPr>
            <w:t>020 7946 0000</w:t>
            <w:br/>
          </w:r>
          <w:r>
            <w:rPr>
              <w:color w:val="555555"/>
              <w:sz w:val="15"/>
              <w:lang w:val="en-GB" w:eastAsia="en-GB" w:bidi="en-GB"/>
            </w:rPr>
            <w:t>studio@harbourlane.example</w:t>
            <w:br/>
          </w:r>
          <w:r>
            <w:rPr>
              <w:color w:val="555555"/>
              <w:sz w:val="15"/>
              <w:lang w:val="en-GB" w:eastAsia="en-GB" w:bidi="en-GB"/>
            </w:rPr>
            <w:t>harbourlane.example</w:t>
          </w:r>
        </w:p>
      </w:tc>
    </w:tr>
  </w:tbl>
  <w:p>
    <w:pPr>
      <w:spacing w:after="280"/>
      <w:pBdr>
        <w:bottom w:val="single" w:sz="6" w:color="1A1A1A" w:space="1"/>
      </w:pBd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after="200"/>
    </w:pPr>
    <w:r>
      <w:rPr>
        <w:b/>
        <w:sz w:val="17"/>
        <w:lang w:val="en-GB" w:eastAsia="en-GB" w:bidi="en-GB"/>
      </w:rPr>
      <w:t>Harbour Lane Architects Ltd</w:t>
    </w:r>
    <w:r>
      <w:rPr>
        <w:color w:val="555555"/>
        <w:sz w:val="15"/>
        <w:lang w:val="en-GB" w:eastAsia="en-GB" w:bidi="en-GB"/>
      </w:rPr>
      <w:tab/>
      <w:t>SVR-01 Rev A · Site visit report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embedTrueTypeFonts/>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en-GB"/>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Inter" w:hAnsi="Inter" w:cs="Inter" w:eastAsia="Inter"/>
      <w:color w:val="1A1A1A"/>
      <w:sz w:val="18"/>
      <w:lang w:val="en-GB" w:eastAsia="en-GB" w:bidi="en-GB"/>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en-GB" w:eastAsia="en-GB" w:bidi="en-GB"/>
    </w:rPr>
  </w:style>
  <w:style w:type="character" w:customStyle="1" w:styleId="HeaderChar">
    <w:name w:val="Header Char"/>
    <w:basedOn w:val="DefaultParagraphFont"/>
    <w:link w:val="Header"/>
    <w:uiPriority w:val="99"/>
    <w:rsid w:val="00E618BF"/>
    <w:rPr>
      <w:lang w:val="en-GB" w:eastAsia="en-GB" w:bidi="en-GB"/>
    </w:rPr>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en-GB" w:eastAsia="en-GB" w:bidi="en-GB"/>
    </w:rPr>
  </w:style>
  <w:style w:type="character" w:customStyle="1" w:styleId="FooterChar">
    <w:name w:val="Footer Char"/>
    <w:basedOn w:val="DefaultParagraphFont"/>
    <w:link w:val="Footer"/>
    <w:uiPriority w:val="99"/>
    <w:rsid w:val="00E618BF"/>
    <w:rPr>
      <w:lang w:val="en-GB" w:eastAsia="en-GB" w:bidi="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lang w:val="en-GB" w:eastAsia="en-GB" w:bidi="en-GB"/>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lang w:val="en-GB" w:eastAsia="en-GB" w:bidi="en-GB"/>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en-GB" w:eastAsia="en-GB" w:bidi="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GB" w:eastAsia="en-GB" w:bidi="en-GB"/>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GB" w:eastAsia="en-GB" w:bidi="en-GB"/>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GB" w:eastAsia="en-GB" w:bidi="en-GB"/>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GB" w:eastAsia="en-GB" w:bidi="en-GB"/>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GB" w:eastAsia="en-GB" w:bidi="en-GB"/>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GB" w:eastAsia="en-GB" w:bidi="en-GB"/>
    </w:rPr>
  </w:style>
  <w:style w:type="character" w:default="1" w:styleId="DefaultParagraphFont">
    <w:name w:val="Default Paragraph Font"/>
    <w:uiPriority w:val="1"/>
    <w:semiHidden/>
    <w:unhideWhenUsed/>
    <w:rPr>
      <w:lang w:val="en-GB" w:eastAsia="en-GB" w:bidi="en-GB"/>
    </w:rPr>
  </w:style>
  <w:style w:type="table" w:default="1" w:styleId="TableNormal">
    <w:name w:val="Normal Table"/>
    <w:uiPriority w:val="99"/>
    <w:semiHidden/>
    <w:unhideWhenUsed/>
    <w:rPr>
      <w:lang w:val="en-GB" w:eastAsia="en-GB" w:bidi="en-GB"/>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lang w:val="en-GB" w:eastAsia="en-GB" w:bidi="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n-GB" w:eastAsia="en-GB" w:bidi="en-GB"/>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n-GB" w:eastAsia="en-GB" w:bidi="en-GB"/>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n-GB" w:eastAsia="en-GB" w:bidi="en-GB"/>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GB" w:eastAsia="en-GB" w:bidi="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n-GB" w:eastAsia="en-GB" w:bidi="en-GB"/>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en-GB" w:eastAsia="en-GB" w:bidi="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n-GB" w:eastAsia="en-GB" w:bidi="en-GB"/>
    </w:rPr>
  </w:style>
  <w:style w:type="paragraph" w:styleId="ListParagraph">
    <w:name w:val="List Paragraph"/>
    <w:basedOn w:val="Normal"/>
    <w:uiPriority w:val="34"/>
    <w:qFormat/>
    <w:rsid w:val="00FC693F"/>
    <w:pPr>
      <w:ind w:left="720"/>
      <w:contextualSpacing/>
    </w:pPr>
    <w:rPr>
      <w:lang w:val="en-GB" w:eastAsia="en-GB" w:bidi="en-GB"/>
    </w:rPr>
  </w:style>
  <w:style w:type="paragraph" w:styleId="BodyText">
    <w:name w:val="Body Text"/>
    <w:basedOn w:val="Normal"/>
    <w:link w:val="BodyTextChar"/>
    <w:uiPriority w:val="99"/>
    <w:unhideWhenUsed/>
    <w:rsid w:val="00AA1D8D"/>
    <w:pPr>
      <w:spacing w:after="120"/>
    </w:pPr>
    <w:rPr>
      <w:lang w:val="en-GB" w:eastAsia="en-GB" w:bidi="en-GB"/>
    </w:rPr>
  </w:style>
  <w:style w:type="character" w:customStyle="1" w:styleId="BodyTextChar">
    <w:name w:val="Body Text Char"/>
    <w:basedOn w:val="DefaultParagraphFont"/>
    <w:link w:val="BodyText"/>
    <w:uiPriority w:val="99"/>
    <w:rsid w:val="00AA1D8D"/>
    <w:rPr>
      <w:lang w:val="en-GB" w:eastAsia="en-GB" w:bidi="en-GB"/>
    </w:rPr>
  </w:style>
  <w:style w:type="paragraph" w:styleId="BodyText2">
    <w:name w:val="Body Text 2"/>
    <w:basedOn w:val="Normal"/>
    <w:link w:val="BodyText2Char"/>
    <w:uiPriority w:val="99"/>
    <w:unhideWhenUsed/>
    <w:rsid w:val="00AA1D8D"/>
    <w:pPr>
      <w:spacing w:after="120" w:line="480" w:lineRule="auto"/>
    </w:pPr>
    <w:rPr>
      <w:lang w:val="en-GB" w:eastAsia="en-GB" w:bidi="en-GB"/>
    </w:rPr>
  </w:style>
  <w:style w:type="character" w:customStyle="1" w:styleId="BodyText2Char">
    <w:name w:val="Body Text 2 Char"/>
    <w:basedOn w:val="DefaultParagraphFont"/>
    <w:link w:val="BodyText2"/>
    <w:uiPriority w:val="99"/>
    <w:rsid w:val="00AA1D8D"/>
    <w:rPr>
      <w:lang w:val="en-GB" w:eastAsia="en-GB" w:bidi="en-GB"/>
    </w:rPr>
  </w:style>
  <w:style w:type="paragraph" w:styleId="BodyText3">
    <w:name w:val="Body Text 3"/>
    <w:basedOn w:val="Normal"/>
    <w:link w:val="BodyText3Char"/>
    <w:uiPriority w:val="99"/>
    <w:unhideWhenUsed/>
    <w:rsid w:val="00AA1D8D"/>
    <w:pPr>
      <w:spacing w:after="120"/>
    </w:pPr>
    <w:rPr>
      <w:sz w:val="16"/>
      <w:szCs w:val="16"/>
      <w:lang w:val="en-GB" w:eastAsia="en-GB" w:bidi="en-GB"/>
    </w:rPr>
  </w:style>
  <w:style w:type="character" w:customStyle="1" w:styleId="BodyText3Char">
    <w:name w:val="Body Text 3 Char"/>
    <w:basedOn w:val="DefaultParagraphFont"/>
    <w:link w:val="BodyText3"/>
    <w:uiPriority w:val="99"/>
    <w:rsid w:val="00AA1D8D"/>
    <w:rPr>
      <w:sz w:val="16"/>
      <w:szCs w:val="16"/>
      <w:lang w:val="en-GB" w:eastAsia="en-GB" w:bidi="en-GB"/>
    </w:rPr>
  </w:style>
  <w:style w:type="paragraph" w:styleId="List">
    <w:name w:val="List"/>
    <w:basedOn w:val="Normal"/>
    <w:uiPriority w:val="99"/>
    <w:unhideWhenUsed/>
    <w:rsid w:val="00AA1D8D"/>
    <w:pPr>
      <w:ind w:left="360" w:hanging="360"/>
      <w:contextualSpacing/>
    </w:pPr>
    <w:rPr>
      <w:lang w:val="en-GB" w:eastAsia="en-GB" w:bidi="en-GB"/>
    </w:rPr>
  </w:style>
  <w:style w:type="paragraph" w:styleId="List2">
    <w:name w:val="List 2"/>
    <w:basedOn w:val="Normal"/>
    <w:uiPriority w:val="99"/>
    <w:unhideWhenUsed/>
    <w:rsid w:val="00326F90"/>
    <w:pPr>
      <w:ind w:left="720" w:hanging="360"/>
      <w:contextualSpacing/>
    </w:pPr>
    <w:rPr>
      <w:lang w:val="en-GB" w:eastAsia="en-GB" w:bidi="en-GB"/>
    </w:rPr>
  </w:style>
  <w:style w:type="paragraph" w:styleId="List3">
    <w:name w:val="List 3"/>
    <w:basedOn w:val="Normal"/>
    <w:uiPriority w:val="99"/>
    <w:unhideWhenUsed/>
    <w:rsid w:val="00326F90"/>
    <w:pPr>
      <w:ind w:left="1080" w:hanging="360"/>
      <w:contextualSpacing/>
    </w:pPr>
    <w:rPr>
      <w:lang w:val="en-GB" w:eastAsia="en-GB" w:bidi="en-GB"/>
    </w:rPr>
  </w:style>
  <w:style w:type="paragraph" w:styleId="ListBullet">
    <w:name w:val="List Bullet"/>
    <w:basedOn w:val="Normal"/>
    <w:uiPriority w:val="99"/>
    <w:unhideWhenUsed/>
    <w:rsid w:val="00326F90"/>
    <w:pPr>
      <w:numPr>
        <w:numId w:val="1"/>
      </w:numPr>
      <w:contextualSpacing/>
    </w:pPr>
    <w:rPr>
      <w:lang w:val="en-GB" w:eastAsia="en-GB" w:bidi="en-GB"/>
    </w:rPr>
  </w:style>
  <w:style w:type="paragraph" w:styleId="ListBullet2">
    <w:name w:val="List Bullet 2"/>
    <w:basedOn w:val="Normal"/>
    <w:uiPriority w:val="99"/>
    <w:unhideWhenUsed/>
    <w:rsid w:val="00326F90"/>
    <w:pPr>
      <w:numPr>
        <w:numId w:val="2"/>
      </w:numPr>
      <w:contextualSpacing/>
    </w:pPr>
    <w:rPr>
      <w:lang w:val="en-GB" w:eastAsia="en-GB" w:bidi="en-GB"/>
    </w:rPr>
  </w:style>
  <w:style w:type="paragraph" w:styleId="ListBullet3">
    <w:name w:val="List Bullet 3"/>
    <w:basedOn w:val="Normal"/>
    <w:uiPriority w:val="99"/>
    <w:unhideWhenUsed/>
    <w:rsid w:val="00326F90"/>
    <w:pPr>
      <w:numPr>
        <w:numId w:val="3"/>
      </w:numPr>
      <w:contextualSpacing/>
    </w:pPr>
    <w:rPr>
      <w:lang w:val="en-GB" w:eastAsia="en-GB" w:bidi="en-GB"/>
    </w:rPr>
  </w:style>
  <w:style w:type="paragraph" w:styleId="ListNumber">
    <w:name w:val="List Number"/>
    <w:basedOn w:val="Normal"/>
    <w:uiPriority w:val="99"/>
    <w:unhideWhenUsed/>
    <w:rsid w:val="00326F90"/>
    <w:pPr>
      <w:numPr>
        <w:numId w:val="5"/>
      </w:numPr>
      <w:contextualSpacing/>
    </w:pPr>
    <w:rPr>
      <w:lang w:val="en-GB" w:eastAsia="en-GB" w:bidi="en-GB"/>
    </w:rPr>
  </w:style>
  <w:style w:type="paragraph" w:styleId="ListNumber2">
    <w:name w:val="List Number 2"/>
    <w:basedOn w:val="Normal"/>
    <w:uiPriority w:val="99"/>
    <w:unhideWhenUsed/>
    <w:rsid w:val="0029639D"/>
    <w:pPr>
      <w:numPr>
        <w:numId w:val="6"/>
      </w:numPr>
      <w:contextualSpacing/>
    </w:pPr>
    <w:rPr>
      <w:lang w:val="en-GB" w:eastAsia="en-GB" w:bidi="en-GB"/>
    </w:rPr>
  </w:style>
  <w:style w:type="paragraph" w:styleId="ListNumber3">
    <w:name w:val="List Number 3"/>
    <w:basedOn w:val="Normal"/>
    <w:uiPriority w:val="99"/>
    <w:unhideWhenUsed/>
    <w:rsid w:val="0029639D"/>
    <w:pPr>
      <w:numPr>
        <w:numId w:val="7"/>
      </w:numPr>
      <w:contextualSpacing/>
    </w:pPr>
    <w:rPr>
      <w:lang w:val="en-GB" w:eastAsia="en-GB" w:bidi="en-GB"/>
    </w:rPr>
  </w:style>
  <w:style w:type="paragraph" w:styleId="ListContinue">
    <w:name w:val="List Continue"/>
    <w:basedOn w:val="Normal"/>
    <w:uiPriority w:val="99"/>
    <w:unhideWhenUsed/>
    <w:rsid w:val="0029639D"/>
    <w:pPr>
      <w:spacing w:after="120"/>
      <w:ind w:left="360"/>
      <w:contextualSpacing/>
    </w:pPr>
    <w:rPr>
      <w:lang w:val="en-GB" w:eastAsia="en-GB" w:bidi="en-GB"/>
    </w:rPr>
  </w:style>
  <w:style w:type="paragraph" w:styleId="ListContinue2">
    <w:name w:val="List Continue 2"/>
    <w:basedOn w:val="Normal"/>
    <w:uiPriority w:val="99"/>
    <w:unhideWhenUsed/>
    <w:rsid w:val="0029639D"/>
    <w:pPr>
      <w:spacing w:after="120"/>
      <w:ind w:left="720"/>
      <w:contextualSpacing/>
    </w:pPr>
    <w:rPr>
      <w:lang w:val="en-GB" w:eastAsia="en-GB" w:bidi="en-GB"/>
    </w:rPr>
  </w:style>
  <w:style w:type="paragraph" w:styleId="ListContinue3">
    <w:name w:val="List Continue 3"/>
    <w:basedOn w:val="Normal"/>
    <w:uiPriority w:val="99"/>
    <w:unhideWhenUsed/>
    <w:rsid w:val="0029639D"/>
    <w:pPr>
      <w:spacing w:after="120"/>
      <w:ind w:left="1080"/>
      <w:contextualSpacing/>
    </w:pPr>
    <w:rPr>
      <w:lang w:val="en-GB" w:eastAsia="en-GB" w:bidi="en-GB"/>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GB" w:eastAsia="en-GB" w:bidi="en-GB"/>
    </w:rPr>
  </w:style>
  <w:style w:type="character" w:customStyle="1" w:styleId="MacroTextChar">
    <w:name w:val="Macro Text Char"/>
    <w:basedOn w:val="DefaultParagraphFont"/>
    <w:link w:val="MacroText"/>
    <w:uiPriority w:val="99"/>
    <w:rsid w:val="0029639D"/>
    <w:rPr>
      <w:rFonts w:ascii="Courier" w:hAnsi="Courier"/>
      <w:sz w:val="20"/>
      <w:szCs w:val="20"/>
      <w:lang w:val="en-GB" w:eastAsia="en-GB" w:bidi="en-GB"/>
    </w:rPr>
  </w:style>
  <w:style w:type="paragraph" w:styleId="Quote">
    <w:name w:val="Quote"/>
    <w:basedOn w:val="Normal"/>
    <w:next w:val="Normal"/>
    <w:link w:val="QuoteChar"/>
    <w:uiPriority w:val="29"/>
    <w:qFormat/>
    <w:rsid w:val="00FC693F"/>
    <w:rPr>
      <w:i/>
      <w:iCs/>
      <w:color w:val="000000" w:themeColor="text1"/>
      <w:lang w:val="en-GB" w:eastAsia="en-GB" w:bidi="en-GB"/>
    </w:rPr>
  </w:style>
  <w:style w:type="character" w:customStyle="1" w:styleId="QuoteChar">
    <w:name w:val="Quote Char"/>
    <w:basedOn w:val="DefaultParagraphFont"/>
    <w:link w:val="Quote"/>
    <w:uiPriority w:val="29"/>
    <w:rsid w:val="00FC693F"/>
    <w:rPr>
      <w:i/>
      <w:iCs/>
      <w:color w:val="000000" w:themeColor="text1"/>
      <w:lang w:val="en-GB" w:eastAsia="en-GB" w:bidi="en-GB"/>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n-GB" w:eastAsia="en-GB" w:bidi="en-GB"/>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n-GB" w:eastAsia="en-GB" w:bidi="en-GB"/>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n-GB" w:eastAsia="en-GB" w:bidi="en-GB"/>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n-GB" w:eastAsia="en-GB" w:bidi="en-GB"/>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n-GB" w:eastAsia="en-GB" w:bidi="en-GB"/>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n-GB" w:eastAsia="en-GB" w:bidi="en-GB"/>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GB" w:eastAsia="en-GB" w:bidi="en-GB"/>
    </w:rPr>
  </w:style>
  <w:style w:type="character" w:styleId="Strong">
    <w:name w:val="Strong"/>
    <w:basedOn w:val="DefaultParagraphFont"/>
    <w:uiPriority w:val="22"/>
    <w:qFormat/>
    <w:rsid w:val="00FC693F"/>
    <w:rPr>
      <w:b/>
      <w:bCs/>
      <w:lang w:val="en-GB" w:eastAsia="en-GB" w:bidi="en-GB"/>
    </w:rPr>
  </w:style>
  <w:style w:type="character" w:styleId="Emphasis">
    <w:name w:val="Emphasis"/>
    <w:basedOn w:val="DefaultParagraphFont"/>
    <w:uiPriority w:val="20"/>
    <w:qFormat/>
    <w:rsid w:val="00FC693F"/>
    <w:rPr>
      <w:i/>
      <w:iCs/>
      <w:lang w:val="en-GB" w:eastAsia="en-GB" w:bidi="en-GB"/>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n-GB" w:eastAsia="en-GB" w:bidi="en-GB"/>
    </w:rPr>
  </w:style>
  <w:style w:type="character" w:customStyle="1" w:styleId="IntenseQuoteChar">
    <w:name w:val="Intense Quote Char"/>
    <w:basedOn w:val="DefaultParagraphFont"/>
    <w:link w:val="IntenseQuote"/>
    <w:uiPriority w:val="30"/>
    <w:rsid w:val="00FC693F"/>
    <w:rPr>
      <w:b/>
      <w:bCs/>
      <w:i/>
      <w:iCs/>
      <w:color w:val="4F81BD" w:themeColor="accent1"/>
      <w:lang w:val="en-GB" w:eastAsia="en-GB" w:bidi="en-GB"/>
    </w:rPr>
  </w:style>
  <w:style w:type="character" w:styleId="SubtleEmphasis">
    <w:name w:val="Subtle Emphasis"/>
    <w:basedOn w:val="DefaultParagraphFont"/>
    <w:uiPriority w:val="19"/>
    <w:qFormat/>
    <w:rsid w:val="00FC693F"/>
    <w:rPr>
      <w:i/>
      <w:iCs/>
      <w:color w:val="808080" w:themeColor="text1" w:themeTint="7F"/>
      <w:lang w:val="en-GB" w:eastAsia="en-GB" w:bidi="en-GB"/>
    </w:rPr>
  </w:style>
  <w:style w:type="character" w:styleId="IntenseEmphasis">
    <w:name w:val="Intense Emphasis"/>
    <w:basedOn w:val="DefaultParagraphFont"/>
    <w:uiPriority w:val="21"/>
    <w:qFormat/>
    <w:rsid w:val="00FC693F"/>
    <w:rPr>
      <w:b/>
      <w:bCs/>
      <w:i/>
      <w:iCs/>
      <w:color w:val="4F81BD" w:themeColor="accent1"/>
      <w:lang w:val="en-GB" w:eastAsia="en-GB" w:bidi="en-GB"/>
    </w:rPr>
  </w:style>
  <w:style w:type="character" w:styleId="SubtleReference">
    <w:name w:val="Subtle Reference"/>
    <w:basedOn w:val="DefaultParagraphFont"/>
    <w:uiPriority w:val="31"/>
    <w:qFormat/>
    <w:rsid w:val="00FC693F"/>
    <w:rPr>
      <w:smallCaps/>
      <w:color w:val="C0504D" w:themeColor="accent2"/>
      <w:u w:val="single"/>
      <w:lang w:val="en-GB" w:eastAsia="en-GB" w:bidi="en-GB"/>
    </w:rPr>
  </w:style>
  <w:style w:type="character" w:styleId="IntenseReference">
    <w:name w:val="Intense Reference"/>
    <w:basedOn w:val="DefaultParagraphFont"/>
    <w:uiPriority w:val="32"/>
    <w:qFormat/>
    <w:rsid w:val="00FC693F"/>
    <w:rPr>
      <w:b/>
      <w:bCs/>
      <w:smallCaps/>
      <w:color w:val="C0504D" w:themeColor="accent2"/>
      <w:spacing w:val="5"/>
      <w:u w:val="single"/>
      <w:lang w:val="en-GB" w:eastAsia="en-GB" w:bidi="en-GB"/>
    </w:rPr>
  </w:style>
  <w:style w:type="character" w:styleId="BookTitle">
    <w:name w:val="Book Title"/>
    <w:basedOn w:val="DefaultParagraphFont"/>
    <w:uiPriority w:val="33"/>
    <w:qFormat/>
    <w:rsid w:val="00FC693F"/>
    <w:rPr>
      <w:b/>
      <w:bCs/>
      <w:smallCaps/>
      <w:spacing w:val="5"/>
      <w:lang w:val="en-GB" w:eastAsia="en-GB" w:bidi="en-GB"/>
    </w:rPr>
  </w:style>
  <w:style w:type="paragraph" w:styleId="TOCHeading">
    <w:name w:val="TOC Heading"/>
    <w:basedOn w:val="Heading1"/>
    <w:next w:val="Normal"/>
    <w:uiPriority w:val="39"/>
    <w:semiHidden/>
    <w:unhideWhenUsed/>
    <w:qFormat/>
    <w:rsid w:val="00FC693F"/>
    <w:pPr>
      <w:outlineLvl w:val="9"/>
    </w:pPr>
    <w:rPr>
      <w:lang w:val="en-GB" w:eastAsia="en-GB" w:bidi="en-GB"/>
    </w:rPr>
  </w:style>
  <w:style w:type="table" w:styleId="TableGrid">
    <w:name w:val="Table Grid"/>
    <w:basedOn w:val="TableNormal"/>
    <w:uiPriority w:val="59"/>
    <w:rsid w:val="00FC693F"/>
    <w:pPr>
      <w:spacing w:after="0" w:line="240" w:lineRule="auto"/>
    </w:pPr>
    <w:rPr>
      <w:lang w:val="en-GB" w:eastAsia="en-GB" w:bidi="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lang w:val="en-GB" w:eastAsia="en-GB" w:bidi="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en-GB" w:eastAsia="en-GB" w:bidi="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en-GB" w:eastAsia="en-GB" w:bidi="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en-GB" w:eastAsia="en-GB" w:bidi="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en-GB" w:eastAsia="en-GB" w:bidi="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en-GB" w:eastAsia="en-GB" w:bidi="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en-GB" w:eastAsia="en-GB" w:bidi="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lang w:val="en-GB" w:eastAsia="en-GB" w:bidi="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lang w:val="en-GB" w:eastAsia="en-GB" w:bidi="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lang w:val="en-GB" w:eastAsia="en-GB" w:bidi="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lang w:val="en-GB" w:eastAsia="en-GB" w:bidi="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lang w:val="en-GB" w:eastAsia="en-GB" w:bidi="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lang w:val="en-GB" w:eastAsia="en-GB" w:bidi="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lang w:val="en-GB" w:eastAsia="en-GB" w:bidi="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lang w:val="en-GB" w:eastAsia="en-GB" w:bidi="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lang w:val="en-GB" w:eastAsia="en-GB" w:bidi="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lang w:val="en-GB" w:eastAsia="en-GB" w:bidi="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lang w:val="en-GB" w:eastAsia="en-GB" w:bidi="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lang w:val="en-GB" w:eastAsia="en-GB" w:bidi="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lang w:val="en-GB" w:eastAsia="en-GB" w:bidi="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lang w:val="en-GB" w:eastAsia="en-GB" w:bidi="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lang w:val="en-GB" w:eastAsia="en-GB" w:bidi="en-GB"/>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lang w:val="en-GB" w:eastAsia="en-GB" w:bidi="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lang w:val="en-GB" w:eastAsia="en-GB" w:bidi="en-GB"/>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lang w:val="en-GB" w:eastAsia="en-GB" w:bidi="en-G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lang w:val="en-GB" w:eastAsia="en-GB" w:bidi="en-GB"/>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lang w:val="en-GB" w:eastAsia="en-GB" w:bidi="en-GB"/>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lang w:val="en-GB" w:eastAsia="en-GB" w:bidi="en-GB"/>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lang w:val="en-GB" w:eastAsia="en-GB" w:bidi="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lang w:val="en-GB" w:eastAsia="en-GB" w:bidi="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lang w:val="en-GB" w:eastAsia="en-GB" w:bidi="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lang w:val="en-GB" w:eastAsia="en-GB" w:bidi="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lang w:val="en-GB" w:eastAsia="en-GB" w:bidi="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lang w:val="en-GB" w:eastAsia="en-GB" w:bidi="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lang w:val="en-GB" w:eastAsia="en-GB" w:bidi="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lang w:val="en-GB" w:eastAsia="en-GB" w:bidi="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en-GB" w:eastAsia="en-GB" w:bidi="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en-GB" w:eastAsia="en-GB" w:bidi="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en-GB" w:eastAsia="en-GB" w:bidi="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en-GB" w:eastAsia="en-GB" w:bidi="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en-GB" w:eastAsia="en-GB" w:bidi="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en-GB" w:eastAsia="en-GB" w:bidi="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bidi="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bidi="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bidi="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bidi="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bidi="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bidi="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bidi="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lang w:val="en-GB" w:eastAsia="en-GB" w:bidi="en-GB"/>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lang w:val="en-GB" w:eastAsia="en-GB" w:bidi="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lang w:val="en-GB" w:eastAsia="en-GB" w:bidi="en-GB"/>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lang w:val="en-GB" w:eastAsia="en-GB" w:bidi="en-G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lang w:val="en-GB" w:eastAsia="en-GB" w:bidi="en-GB"/>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lang w:val="en-GB" w:eastAsia="en-GB" w:bidi="en-GB"/>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lang w:val="en-GB" w:eastAsia="en-GB" w:bidi="en-GB"/>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bidi="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bidi="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bidi="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bidi="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bidi="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bidi="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bidi="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lang w:val="en-GB" w:eastAsia="en-GB" w:bidi="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lang w:val="en-GB" w:eastAsia="en-GB" w:bidi="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lang w:val="en-GB" w:eastAsia="en-GB" w:bidi="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lang w:val="en-GB" w:eastAsia="en-GB" w:bidi="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lang w:val="en-GB" w:eastAsia="en-GB" w:bidi="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lang w:val="en-GB" w:eastAsia="en-GB" w:bidi="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lang w:val="en-GB" w:eastAsia="en-GB" w:bidi="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lang w:val="en-GB" w:eastAsia="en-GB" w:bidi="en-GB"/>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en-GB" w:eastAsia="en-GB" w:bidi="en-GB"/>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en-GB" w:eastAsia="en-GB" w:bidi="en-GB"/>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en-GB" w:eastAsia="en-GB" w:bidi="en-GB"/>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en-GB" w:eastAsia="en-GB" w:bidi="en-GB"/>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en-GB" w:eastAsia="en-GB" w:bidi="en-GB"/>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en-GB" w:eastAsia="en-GB" w:bidi="en-GB"/>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en-GB" w:eastAsia="en-GB" w:bidi="en-GB"/>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en-GB" w:eastAsia="en-GB" w:bidi="en-GB"/>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en-GB" w:eastAsia="en-GB" w:bidi="en-GB"/>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en-GB" w:eastAsia="en-GB" w:bidi="en-GB"/>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en-GB" w:eastAsia="en-GB" w:bidi="en-GB"/>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en-GB" w:eastAsia="en-GB" w:bidi="en-GB"/>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en-GB" w:eastAsia="en-GB" w:bidi="en-GB"/>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en-GB" w:eastAsia="en-GB" w:bidi="en-GB"/>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en-GB" w:eastAsia="en-GB" w:bidi="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en-GB" w:eastAsia="en-GB" w:bidi="en-GB"/>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en-GB" w:eastAsia="en-GB" w:bidi="en-GB"/>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en-GB" w:eastAsia="en-GB" w:bidi="en-GB"/>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en-GB" w:eastAsia="en-GB" w:bidi="en-GB"/>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en-GB" w:eastAsia="en-GB" w:bidi="en-GB"/>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en-GB" w:eastAsia="en-GB" w:bidi="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en-GB" w:eastAsia="en-GB" w:bidi="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en-GB" w:eastAsia="en-GB" w:bidi="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en-GB" w:eastAsia="en-GB" w:bidi="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en-GB" w:eastAsia="en-GB" w:bidi="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en-GB" w:eastAsia="en-GB" w:bidi="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en-GB" w:eastAsia="en-GB" w:bidi="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Title">
    <w:name w:val="Document Title"/>
    <w:basedOn w:val="Normal"/>
    <w:pPr>
      <w:keepNext/>
      <w:spacing w:before="0" w:after="80"/>
    </w:pPr>
    <w:rPr>
      <w:rFonts w:ascii="Inter" w:hAnsi="Inter"/>
      <w:b/>
      <w:color w:val="1A1A1A"/>
      <w:sz w:val="30"/>
      <w:lang w:val="en-GB" w:eastAsia="en-GB" w:bidi="en-GB"/>
    </w:rPr>
  </w:style>
  <w:style w:type="paragraph" w:customStyle="1" w:styleId="DocumentSubtitle">
    <w:name w:val="Document Subtitle"/>
    <w:basedOn w:val="Normal"/>
    <w:pPr>
      <w:keepNext w:val="0"/>
      <w:spacing w:before="0" w:after="120"/>
    </w:pPr>
    <w:rPr>
      <w:rFonts w:ascii="Inter" w:hAnsi="Inter"/>
      <w:b w:val="0"/>
      <w:color w:val="555555"/>
      <w:sz w:val="19"/>
      <w:lang w:val="en-GB" w:eastAsia="en-GB" w:bidi="en-GB"/>
    </w:rPr>
  </w:style>
  <w:style w:type="paragraph" w:customStyle="1" w:styleId="DocumentHeading">
    <w:name w:val="Document Heading"/>
    <w:basedOn w:val="Normal"/>
    <w:pPr>
      <w:keepNext/>
      <w:spacing w:before="200" w:after="80"/>
      <w:pBdr>
        <w:bottom w:val="single" w:sz="4" w:color="C9C9C6" w:space="2"/>
      </w:pBdr>
    </w:pPr>
    <w:rPr>
      <w:rFonts w:ascii="Inter" w:hAnsi="Inter"/>
      <w:b/>
      <w:color w:val="1A1A1A"/>
      <w:sz w:val="20"/>
      <w:lang w:val="en-GB" w:eastAsia="en-GB" w:bidi="en-GB"/>
    </w:rPr>
  </w:style>
  <w:style w:type="paragraph" w:customStyle="1" w:styleId="SmallPrint">
    <w:name w:val="Small Print"/>
    <w:basedOn w:val="Normal"/>
    <w:pPr>
      <w:keepNext w:val="0"/>
      <w:spacing w:before="0" w:after="80"/>
    </w:pPr>
    <w:rPr>
      <w:rFonts w:ascii="Inter" w:hAnsi="Inter"/>
      <w:b w:val="0"/>
      <w:color w:val="555555"/>
      <w:sz w:val="15"/>
      <w:lang w:val="en-GB" w:eastAsia="en-GB" w:bidi="en-GB"/>
    </w:rPr>
  </w:style>
  <w:style w:type="paragraph" w:customStyle="1" w:styleId="BoldText">
    <w:name w:val="Bold Text"/>
    <w:basedOn w:val="Normal"/>
    <w:pPr>
      <w:keepNext w:val="0"/>
      <w:spacing w:before="0" w:after="80"/>
    </w:pPr>
    <w:rPr>
      <w:rFonts w:ascii="Inter" w:hAnsi="Inter"/>
      <w:b/>
      <w:color w:val="1A1A1A"/>
      <w:sz w:val="18"/>
      <w:lang w:val="en-GB" w:eastAsia="en-GB" w:bidi="en-GB"/>
    </w:rPr>
  </w:style>
  <w:style w:type="paragraph" w:customStyle="1" w:styleId="LargeText">
    <w:name w:val="Large Text"/>
    <w:basedOn w:val="Normal"/>
    <w:pPr>
      <w:keepNext w:val="0"/>
      <w:spacing w:before="0" w:after="80"/>
    </w:pPr>
    <w:rPr>
      <w:rFonts w:ascii="Inter" w:hAnsi="Inter"/>
      <w:b w:val="0"/>
      <w:color w:val="1A1A1A"/>
      <w:sz w:val="22"/>
      <w:lang w:val="en-GB" w:eastAsia="en-GB" w:bidi="en-GB"/>
    </w:rPr>
  </w:style>
  <w:style w:type="paragraph" w:customStyle="1" w:styleId="DocumentDetails">
    <w:name w:val="Document Details"/>
    <w:basedOn w:val="Normal"/>
    <w:pPr>
      <w:keepNext w:val="0"/>
      <w:spacing w:before="0" w:after="20"/>
    </w:pPr>
    <w:rPr>
      <w:rFonts w:ascii="Inter" w:hAnsi="Inter"/>
      <w:b w:val="0"/>
      <w:color w:val="1A1A1A"/>
      <w:sz w:val="16"/>
      <w:lang w:val="en-GB" w:eastAsia="en-GB" w:bidi="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en-GB"/>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visit report</dc:title>
  <dc:subject>SVR-01 Rev A · Site visit report</dc:subject>
  <dc:creator>Harbour Lane Architects Ltd</dc:creator>
  <cp:keywords/>
  <dc:description/>
  <cp:lastModifiedBy/>
  <cp:revision>1</cp:revision>
  <dcterms:created xsi:type="dcterms:W3CDTF">2013-12-23T23:15:00Z</dcterms:created>
  <dcterms:modified xsi:type="dcterms:W3CDTF">2013-12-23T23:15:00Z</dcterms:modified>
  <cp:category/>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enerated">
    <vt:bool>true</vt:bool>
  </property>
  <property fmtid="{D5CDD505-2E9C-101B-9397-08002B2CF9AE}" pid="3" name="AIGenerator">
    <vt:lpwstr>ArchX</vt:lpwstr>
  </property>
  <property fmtid="{D5CDD505-2E9C-101B-9397-08002B2CF9AE}" pid="4" name="DigitalSourceType">
    <vt:lpwstr>http://cv.iptc.org/newscodes/digitalsourcetype/trainedAlgorithmicMedia</vt:lpwstr>
  </property>
</Properties>
</file>