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8384B"/>
          <w:sz w:val="40"/>
        </w:rPr>
        <w:t>Hillcrest Dental | Bid Review</w:t>
      </w:r>
    </w:p>
    <w:p>
      <w:pPr>
        <w:spacing w:after="100"/>
      </w:pPr>
      <w:r>
        <w:rPr>
          <w:sz w:val="18"/>
        </w:rPr>
        <w:t>To: Owner  •  From: Juniper Street Architects, Inc.  •  October 13, 2026</w:t>
      </w:r>
    </w:p>
    <w:p>
      <w:pPr>
        <w:spacing w:after="100"/>
      </w:pPr>
      <w:r>
        <w:rPr>
          <w:sz w:val="18"/>
        </w:rPr>
        <w:t>DRAFT — FICTITIOUS SOURCE DOCUMENTS — Revision 02</w:t>
      </w:r>
    </w:p>
    <w:p>
      <w:pPr/>
      <w:r>
        <w:t>Obtain written price reconciliation and inclusive scope confirmations before the owner selects a contractor. Lone Star’s arithmetic checks, but its millwork allowance is excluded. Barton Creek’s base is incomplete for dental piping. Pecan Street’s included dental scope and approximate permit fees require confirmation. No complete low bid is established.</w:t>
      </w:r>
    </w:p>
    <w:tbl>
      <w:tblPr>
        <w:tblStyle w:val="LightShading-Accent1"/>
        <w:tblW w:type="auto" w:w="0"/>
        <w:tblLayout w:type="fixed"/>
        <w:tblLook w:firstColumn="1" w:firstRow="1" w:lastColumn="0" w:lastRow="0" w:noHBand="0" w:noVBand="1" w:val="04A0"/>
      </w:tblPr>
      <w:tblGrid>
        <w:gridCol w:w="2592"/>
        <w:gridCol w:w="2592"/>
        <w:gridCol w:w="2592"/>
        <w:gridCol w:w="2592"/>
      </w:tblGrid>
      <w:tr>
        <w:trPr>
          <w:cantSplit/>
          <w:tblHeader/>
        </w:trPr>
        <w:tc>
          <w:tcPr>
            <w:tcW w:type="dxa" w:w="2952"/>
          </w:tcPr>
          <w:p>
            <w:pPr>
              <w:spacing w:after="80" w:before="60"/>
            </w:pPr>
            <w:r>
              <w:rPr>
                <w:sz w:val="18"/>
              </w:rPr>
              <w:t>USD</w:t>
            </w:r>
          </w:p>
        </w:tc>
        <w:tc>
          <w:tcPr>
            <w:tcW w:type="dxa" w:w="2419"/>
          </w:tcPr>
          <w:p>
            <w:pPr>
              <w:spacing w:after="80" w:before="60"/>
            </w:pPr>
            <w:r>
              <w:rPr>
                <w:sz w:val="18"/>
              </w:rPr>
              <w:t>Lone Star</w:t>
            </w:r>
          </w:p>
        </w:tc>
        <w:tc>
          <w:tcPr>
            <w:tcW w:type="dxa" w:w="2419"/>
          </w:tcPr>
          <w:p>
            <w:pPr>
              <w:spacing w:after="80" w:before="60"/>
            </w:pPr>
            <w:r>
              <w:rPr>
                <w:sz w:val="18"/>
              </w:rPr>
              <w:t>Barton Creek</w:t>
            </w:r>
          </w:p>
        </w:tc>
        <w:tc>
          <w:tcPr>
            <w:tcW w:type="dxa" w:w="2419"/>
          </w:tcPr>
          <w:p>
            <w:pPr>
              <w:spacing w:after="80" w:before="60"/>
            </w:pPr>
            <w:r>
              <w:rPr>
                <w:sz w:val="18"/>
              </w:rPr>
              <w:t>Pecan Street</w:t>
            </w:r>
          </w:p>
        </w:tc>
      </w:tr>
      <w:tr>
        <w:trPr>
          <w:cantSplit/>
        </w:trPr>
        <w:tc>
          <w:tcPr>
            <w:tcW w:type="dxa" w:w="2952"/>
          </w:tcPr>
          <w:p>
            <w:pPr>
              <w:spacing w:after="80" w:before="60"/>
            </w:pPr>
            <w:r>
              <w:rPr>
                <w:sz w:val="18"/>
              </w:rPr>
              <w:t>Submitted base</w:t>
            </w:r>
          </w:p>
        </w:tc>
        <w:tc>
          <w:tcPr>
            <w:tcW w:type="dxa" w:w="2419"/>
          </w:tcPr>
          <w:p>
            <w:pPr>
              <w:spacing w:after="80" w:before="60"/>
            </w:pPr>
            <w:r>
              <w:rPr>
                <w:sz w:val="18"/>
              </w:rPr>
              <w:t>$284,600.00</w:t>
            </w:r>
          </w:p>
        </w:tc>
        <w:tc>
          <w:tcPr>
            <w:tcW w:type="dxa" w:w="2419"/>
          </w:tcPr>
          <w:p>
            <w:pPr>
              <w:spacing w:after="80" w:before="60"/>
            </w:pPr>
            <w:r>
              <w:rPr>
                <w:sz w:val="18"/>
              </w:rPr>
              <w:t>$289,850.00</w:t>
            </w:r>
          </w:p>
        </w:tc>
        <w:tc>
          <w:tcPr>
            <w:tcW w:type="dxa" w:w="2419"/>
          </w:tcPr>
          <w:p>
            <w:pPr>
              <w:spacing w:after="80" w:before="60"/>
            </w:pPr>
            <w:r>
              <w:rPr>
                <w:sz w:val="18"/>
              </w:rPr>
              <w:t>$306,500.00</w:t>
            </w:r>
          </w:p>
        </w:tc>
      </w:tr>
      <w:tr>
        <w:trPr>
          <w:cantSplit/>
        </w:trPr>
        <w:tc>
          <w:tcPr>
            <w:tcW w:type="dxa" w:w="2952"/>
          </w:tcPr>
          <w:p>
            <w:pPr>
              <w:spacing w:after="80" w:before="60"/>
            </w:pPr>
            <w:r>
              <w:rPr>
                <w:sz w:val="18"/>
              </w:rPr>
              <w:t>Checked item sum</w:t>
            </w:r>
          </w:p>
        </w:tc>
        <w:tc>
          <w:tcPr>
            <w:tcW w:type="dxa" w:w="2419"/>
          </w:tcPr>
          <w:p>
            <w:pPr>
              <w:spacing w:after="80" w:before="60"/>
            </w:pPr>
            <w:r>
              <w:rPr>
                <w:sz w:val="18"/>
              </w:rPr>
              <w:t>$284,600.00</w:t>
            </w:r>
          </w:p>
        </w:tc>
        <w:tc>
          <w:tcPr>
            <w:tcW w:type="dxa" w:w="2419"/>
          </w:tcPr>
          <w:p>
            <w:pPr>
              <w:spacing w:after="80" w:before="60"/>
            </w:pPr>
            <w:r>
              <w:rPr>
                <w:sz w:val="18"/>
              </w:rPr>
              <w:t>$288,850.00</w:t>
            </w:r>
          </w:p>
        </w:tc>
        <w:tc>
          <w:tcPr>
            <w:tcW w:type="dxa" w:w="2419"/>
          </w:tcPr>
          <w:p>
            <w:pPr>
              <w:spacing w:after="80" w:before="60"/>
            </w:pPr>
            <w:r>
              <w:rPr>
                <w:sz w:val="18"/>
              </w:rPr>
              <w:t>$306,400.00</w:t>
            </w:r>
          </w:p>
        </w:tc>
      </w:tr>
      <w:tr>
        <w:trPr>
          <w:cantSplit/>
        </w:trPr>
        <w:tc>
          <w:tcPr>
            <w:tcW w:type="dxa" w:w="2952"/>
          </w:tcPr>
          <w:p>
            <w:pPr>
              <w:spacing w:after="80" w:before="60"/>
            </w:pPr>
            <w:r>
              <w:rPr>
                <w:sz w:val="18"/>
              </w:rPr>
              <w:t>Millwork / permit adds</w:t>
            </w:r>
          </w:p>
        </w:tc>
        <w:tc>
          <w:tcPr>
            <w:tcW w:type="dxa" w:w="2419"/>
          </w:tcPr>
          <w:p>
            <w:pPr>
              <w:spacing w:after="80" w:before="60"/>
            </w:pPr>
            <w:r>
              <w:rPr>
                <w:sz w:val="18"/>
              </w:rPr>
              <w:t>22,000 / 6,500</w:t>
            </w:r>
          </w:p>
        </w:tc>
        <w:tc>
          <w:tcPr>
            <w:tcW w:type="dxa" w:w="2419"/>
          </w:tcPr>
          <w:p>
            <w:pPr>
              <w:spacing w:after="80" w:before="60"/>
            </w:pPr>
            <w:r>
              <w:rPr>
                <w:sz w:val="18"/>
              </w:rPr>
              <w:t>0 / 6,500</w:t>
            </w:r>
          </w:p>
        </w:tc>
        <w:tc>
          <w:tcPr>
            <w:tcW w:type="dxa" w:w="2419"/>
          </w:tcPr>
          <w:p>
            <w:pPr>
              <w:spacing w:after="80" w:before="60"/>
            </w:pPr>
            <w:r>
              <w:rPr>
                <w:sz w:val="18"/>
              </w:rPr>
              <w:t>0 / 0</w:t>
            </w:r>
          </w:p>
        </w:tc>
      </w:tr>
      <w:tr>
        <w:trPr>
          <w:cantSplit/>
        </w:trPr>
        <w:tc>
          <w:tcPr>
            <w:tcW w:type="dxa" w:w="2952"/>
          </w:tcPr>
          <w:p>
            <w:pPr>
              <w:spacing w:after="80" w:before="60"/>
            </w:pPr>
            <w:r>
              <w:rPr>
                <w:sz w:val="18"/>
              </w:rPr>
              <w:t>Priced base comparison</w:t>
            </w:r>
          </w:p>
        </w:tc>
        <w:tc>
          <w:tcPr>
            <w:tcW w:type="dxa" w:w="2419"/>
          </w:tcPr>
          <w:p>
            <w:pPr>
              <w:spacing w:after="80" w:before="60"/>
            </w:pPr>
            <w:r>
              <w:rPr>
                <w:sz w:val="18"/>
              </w:rPr>
              <w:t>$313,100.00</w:t>
            </w:r>
          </w:p>
        </w:tc>
        <w:tc>
          <w:tcPr>
            <w:tcW w:type="dxa" w:w="2419"/>
          </w:tcPr>
          <w:p>
            <w:pPr>
              <w:spacing w:after="80" w:before="60"/>
            </w:pPr>
            <w:r>
              <w:rPr>
                <w:sz w:val="18"/>
              </w:rPr>
              <w:t>$295,350.00 + piping</w:t>
            </w:r>
          </w:p>
        </w:tc>
        <w:tc>
          <w:tcPr>
            <w:tcW w:type="dxa" w:w="2419"/>
          </w:tcPr>
          <w:p>
            <w:pPr>
              <w:spacing w:after="80" w:before="60"/>
            </w:pPr>
            <w:r>
              <w:rPr>
                <w:sz w:val="18"/>
              </w:rPr>
              <w:t>$306,400.00</w:t>
            </w:r>
          </w:p>
        </w:tc>
      </w:tr>
      <w:tr>
        <w:trPr>
          <w:cantSplit/>
        </w:trPr>
        <w:tc>
          <w:tcPr>
            <w:tcW w:type="dxa" w:w="2952"/>
          </w:tcPr>
          <w:p>
            <w:pPr>
              <w:spacing w:after="80" w:before="60"/>
            </w:pPr>
            <w:r>
              <w:rPr>
                <w:sz w:val="18"/>
              </w:rPr>
              <w:t>Alternate 1 — separate</w:t>
            </w:r>
          </w:p>
        </w:tc>
        <w:tc>
          <w:tcPr>
            <w:tcW w:type="dxa" w:w="2419"/>
          </w:tcPr>
          <w:p>
            <w:pPr>
              <w:spacing w:after="80" w:before="60"/>
            </w:pPr>
            <w:r>
              <w:rPr>
                <w:sz w:val="18"/>
              </w:rPr>
              <w:t>$4,200.00</w:t>
            </w:r>
          </w:p>
        </w:tc>
        <w:tc>
          <w:tcPr>
            <w:tcW w:type="dxa" w:w="2419"/>
          </w:tcPr>
          <w:p>
            <w:pPr>
              <w:spacing w:after="80" w:before="60"/>
            </w:pPr>
            <w:r>
              <w:rPr>
                <w:sz w:val="18"/>
              </w:rPr>
              <w:t>$3,900.00</w:t>
            </w:r>
          </w:p>
        </w:tc>
        <w:tc>
          <w:tcPr>
            <w:tcW w:type="dxa" w:w="2419"/>
          </w:tcPr>
          <w:p>
            <w:pPr>
              <w:spacing w:after="80" w:before="60"/>
            </w:pPr>
            <w:r>
              <w:rPr>
                <w:sz w:val="18"/>
              </w:rPr>
              <w:t>$4,450.00</w:t>
            </w:r>
          </w:p>
        </w:tc>
      </w:tr>
    </w:tbl>
    <w:p>
      <w:pPr/>
      <w:r>
        <w:t>The comparison uses checked line sums. Barton Creek’s submitted total is $1,000.00 above its lines; Pecan Street’s is $100.00 above its divisions. These are proposed arithmetic corrections pending bidder confirmation. Using submitted totals with the same carries gives $313,100.00, $296,350.00 plus unpriced piping, and $306,500.00, respectively. [L; B; P]</w:t>
      </w:r>
    </w:p>
    <w:p>
      <w:pPr>
        <w:pStyle w:val="Heading2"/>
      </w:pPr>
      <w:r>
        <w:t>Scope basis and Alternate 1</w:t>
      </w:r>
    </w:p>
    <w:p>
      <w:pPr/>
      <w:r>
        <w:t>Use a common $22,000.00 millwork allowance: add it to Lone Star only. Provisionally carry $6,500.00 for excluded permits at Lone Star and Barton Creek, based solely on Pecan Street’s approximate included fee; this is not a verified fee or a quote for those bidders. Barton Creek’s vacuum/air piping stays unpriced. Treat Pecan Street’s dental-utilities rough-in as covering the piping only provisionally. Confirm markups and interfaces. Alternate 1 remains separate. [L; B; P; E10]</w:t>
      </w:r>
    </w:p>
    <w:p>
      <w:pPr>
        <w:pStyle w:val="Heading2"/>
      </w:pPr>
      <w:r>
        <w:t>DD budget comparison</w:t>
      </w:r>
    </w:p>
    <w:p>
      <w:pPr/>
      <w:r>
        <w:t>The DD priced subtotal is $290,830.00. The project’s 8% contingency is $23,266.40, giving a partial $314,096.40 benchmark. Sprinkler work has no rate; permit fees and Alternate 1 are not separately identified. A complete budget variance or savings conclusion is therefore unavailable. The 8% is retained on the DD estimate, not added to bids. [E3–E16]</w:t>
      </w:r>
    </w:p>
    <w:p>
      <w:pPr/>
      <w:r>
        <w:t>Conditionally removing each bid’s sprinkler amount and the common $6,500.00 fee carry gives known-scope subtotals of $297,700.00 (Lone Star), $279,250.00 plus piping (Barton Creek), and $290,800.00 (Pecan Street). Against DD before contingency, these differ by +$6,870.00, −$11,580.00 plus piping, and −$30.00. This assumes fees are not embedded in DD rates and requires scope confirmation. [L; B; P; E]</w:t>
      </w:r>
    </w:p>
    <w:p>
      <w:r>
        <w:br w:type="page"/>
      </w:r>
    </w:p>
    <w:p>
      <w:pPr>
        <w:pStyle w:val="Heading2"/>
      </w:pPr>
      <w:r>
        <w:t>Questions to resolve before selection</w:t>
      </w:r>
    </w:p>
    <w:p>
      <w:pPr/>
      <w:r>
        <w:t>Send the common questions and each bidder’s specific questions from the editable workbook. Request a revised base, a separate Alternate 1, an updated breakdown, confirmed completion timing and written responses linked to each clarification.</w:t>
      </w:r>
    </w:p>
    <w:p>
      <w:pPr>
        <w:pStyle w:val="Heading2"/>
      </w:pPr>
      <w:r>
        <w:t>Lone Star Builders LLC</w:t>
      </w:r>
    </w:p>
    <w:p>
      <w:pPr/>
      <w:r>
        <w:t>Resolve the contradictory millwork wording and provide the inclusive $22,000.00 allowance add. Price excluded permits. Define excluded dental equipment installation versus included vacuum/air rough-in and confirm the owner-vendor assignment. Confirm 12 weeks from notice to proceed, work-hour assumptions, insurance coverage and exact expiration of the stated 30-day bid validity. [L]</w:t>
      </w:r>
    </w:p>
    <w:p>
      <w:pPr>
        <w:pStyle w:val="Heading2"/>
      </w:pPr>
      <w:r>
        <w:t>Barton Creek Construction Inc.</w:t>
      </w:r>
    </w:p>
    <w:p>
      <w:pPr/>
      <w:r>
        <w:t>Reconcile the $1,000.00 arithmetic difference. Obtain a priced, coordinated scope for excluded dental vacuum/compressed air piping. Price permit fees. Determine whether excluded after-hours work is required and quote its cost/time effect. Confirm whether the 14-week general-conditions basis is the completion commitment, plus start trigger and bid validity. [B]</w:t>
      </w:r>
    </w:p>
    <w:p>
      <w:pPr>
        <w:pStyle w:val="Heading2"/>
      </w:pPr>
      <w:r>
        <w:t>Pecan Street Contracting</w:t>
      </w:r>
    </w:p>
    <w:p>
      <w:pPr/>
      <w:r>
        <w:t>Reconcile the $100.00 difference and identify where permit fees sit in the base breakdown. Confirm actual-fee adjustment terms, both dental piping systems, equipment-installation scope, and Alternate 1’s operatory extent. Clarify the optional 1.1% bond basis and amount if requested, 11-week start trigger, work hours, validity and complete exclusions. No bond premium is included in the comparison. [P]</w:t>
      </w:r>
    </w:p>
    <w:p>
      <w:pPr>
        <w:pStyle w:val="Heading2"/>
      </w:pPr>
      <w:r>
        <w:t>Common scope and budget actions</w:t>
      </w:r>
    </w:p>
    <w:p>
      <w:pPr/>
      <w:r>
        <w:t>Confirm identical drawings/addenda, millwork allowance coverage, fee responsibilities, tax and markups, insurance/bonding, dental vendor interfaces, work-hour restrictions and the net alternate cost/time effect. Price the DD sprinkler gap and add the corresponding 8% contingency when priced. Confirm whether permits, equipment installation and other omitted/embedded costs belong in the owner’s budget. The workbook retains every stated exclusion/qualification and blank response fields. [E; L; B; P]</w:t>
      </w:r>
    </w:p>
    <w:p>
      <w:pPr>
        <w:pStyle w:val="Heading2"/>
      </w:pPr>
      <w:r>
        <w:t>Sources and deliverables</w:t>
      </w:r>
    </w:p>
    <w:p>
      <w:pPr/>
      <w:r>
        <w:rPr>
          <w:sz w:val="17"/>
        </w:rPr>
        <w:t>[L] Bids/Bid - Lone Star Builders.pdf, p. 1, bid table, alternate and qualifications. [B] Bids/Bid - Barton Creek Construction.xlsx, Bid!A2:C19 (arithmetic C4:C16; exclusions A19). [P] Bids/Bid - Pecan Street Contracting.pdf, p. 1, division table and closing paragraph. [E] Estimate/Architect estimate DD.xlsx, Estimate!A1 and B3:F14; contingency A16; [E10] B10:F10. Bids dated October 6–7, 2026; DD dated September 28, 2026.</w:t>
      </w:r>
    </w:p>
    <w:p>
      <w:pPr/>
      <w:r>
        <w:rPr>
          <w:sz w:val="17"/>
        </w:rPr>
        <w:t>Companion: Owner Bid Comparison r02.xlsx. Its seven sheets contain arithmetic, proposed scope carries, DD reconstruction/reconciliation, the full scope register, questions and source references. All four supplied sources are marked fictitious. Only those files were reviewed; complete procurement documents and vendor quotes were not supplied.</w:t>
      </w:r>
    </w:p>
    <w:sectPr w:rsidR="00FC693F" w:rsidRPr="0006063C" w:rsidSect="00034616">
      <w:headerReference w:type="default" r:id="rId9"/>
      <w:footerReference w:type="default" r:id="rId10"/>
      <w:pgSz w:w="12240" w:h="15840"/>
      <w:pgMar w:top="936" w:right="936" w:bottom="936" w:left="936"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Hillcrest Dental • Draft review • Fictitious source documents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6774"/>
        <w:sz w:val="16"/>
      </w:rPr>
      <w:t>JUNIPER STREET ARCHITECTS, INC.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Calibri" w:hAnsi="Calibri"/>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618BF"/>
    <w:rPr>
      <w:lang w:val="en-US"/>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618BF"/>
    <w:rPr>
      <w:lang w:val="en-US"/>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18384B"/>
      <w:sz w:val="24"/>
      <w:szCs w:val="28"/>
      <w:lang w:val="en-US"/>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18384B"/>
      <w:sz w:val="24"/>
      <w:szCs w:val="26"/>
      <w:lang w:val="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US"/>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rPr>
      <w:lang w:val="en-US"/>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lang w:val="en-U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n-US"/>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n-US"/>
    </w:rPr>
  </w:style>
  <w:style w:type="paragraph" w:styleId="ListParagraph">
    <w:name w:val="List Paragraph"/>
    <w:basedOn w:val="Normal"/>
    <w:uiPriority w:val="34"/>
    <w:qFormat/>
    <w:rsid w:val="00FC693F"/>
    <w:pPr>
      <w:ind w:left="720"/>
      <w:contextualSpacing/>
    </w:pPr>
    <w:rPr>
      <w:lang w:val="en-US"/>
    </w:rPr>
  </w:style>
  <w:style w:type="paragraph" w:styleId="BodyText">
    <w:name w:val="Body Text"/>
    <w:basedOn w:val="Normal"/>
    <w:link w:val="BodyTextChar"/>
    <w:uiPriority w:val="99"/>
    <w:unhideWhenUsed/>
    <w:rsid w:val="00AA1D8D"/>
    <w:pPr>
      <w:spacing w:after="120"/>
    </w:pPr>
    <w:rPr>
      <w:lang w:val="en-US"/>
    </w:rPr>
  </w:style>
  <w:style w:type="character" w:customStyle="1" w:styleId="BodyTextChar">
    <w:name w:val="Body Text Char"/>
    <w:basedOn w:val="DefaultParagraphFont"/>
    <w:link w:val="BodyText"/>
    <w:uiPriority w:val="99"/>
    <w:rsid w:val="00AA1D8D"/>
    <w:rPr>
      <w:lang w:val="en-US"/>
    </w:rPr>
  </w:style>
  <w:style w:type="paragraph" w:styleId="BodyText2">
    <w:name w:val="Body Text 2"/>
    <w:basedOn w:val="Normal"/>
    <w:link w:val="BodyText2Char"/>
    <w:uiPriority w:val="99"/>
    <w:unhideWhenUsed/>
    <w:rsid w:val="00AA1D8D"/>
    <w:pPr>
      <w:spacing w:after="120" w:line="480" w:lineRule="auto"/>
    </w:pPr>
    <w:rPr>
      <w:lang w:val="en-US"/>
    </w:rPr>
  </w:style>
  <w:style w:type="character" w:customStyle="1" w:styleId="BodyText2Char">
    <w:name w:val="Body Text 2 Char"/>
    <w:basedOn w:val="DefaultParagraphFont"/>
    <w:link w:val="BodyText2"/>
    <w:uiPriority w:val="99"/>
    <w:rsid w:val="00AA1D8D"/>
    <w:rPr>
      <w:lang w:val="en-US"/>
    </w:rPr>
  </w:style>
  <w:style w:type="paragraph" w:styleId="BodyText3">
    <w:name w:val="Body Text 3"/>
    <w:basedOn w:val="Normal"/>
    <w:link w:val="BodyText3Char"/>
    <w:uiPriority w:val="99"/>
    <w:unhideWhenUsed/>
    <w:rsid w:val="00AA1D8D"/>
    <w:pPr>
      <w:spacing w:after="120"/>
    </w:pPr>
    <w:rPr>
      <w:sz w:val="16"/>
      <w:szCs w:val="16"/>
      <w:lang w:val="en-US"/>
    </w:rPr>
  </w:style>
  <w:style w:type="character" w:customStyle="1" w:styleId="BodyText3Char">
    <w:name w:val="Body Text 3 Char"/>
    <w:basedOn w:val="DefaultParagraphFont"/>
    <w:link w:val="BodyText3"/>
    <w:uiPriority w:val="99"/>
    <w:rsid w:val="00AA1D8D"/>
    <w:rPr>
      <w:sz w:val="16"/>
      <w:szCs w:val="16"/>
      <w:lang w:val="en-US"/>
    </w:rPr>
  </w:style>
  <w:style w:type="paragraph" w:styleId="List">
    <w:name w:val="List"/>
    <w:basedOn w:val="Normal"/>
    <w:uiPriority w:val="99"/>
    <w:unhideWhenUsed/>
    <w:rsid w:val="00AA1D8D"/>
    <w:pPr>
      <w:ind w:left="360" w:hanging="360"/>
      <w:contextualSpacing/>
    </w:pPr>
    <w:rPr>
      <w:lang w:val="en-US"/>
    </w:rPr>
  </w:style>
  <w:style w:type="paragraph" w:styleId="List2">
    <w:name w:val="List 2"/>
    <w:basedOn w:val="Normal"/>
    <w:uiPriority w:val="99"/>
    <w:unhideWhenUsed/>
    <w:rsid w:val="00326F90"/>
    <w:pPr>
      <w:ind w:left="720" w:hanging="360"/>
      <w:contextualSpacing/>
    </w:pPr>
    <w:rPr>
      <w:lang w:val="en-US"/>
    </w:rPr>
  </w:style>
  <w:style w:type="paragraph" w:styleId="List3">
    <w:name w:val="List 3"/>
    <w:basedOn w:val="Normal"/>
    <w:uiPriority w:val="99"/>
    <w:unhideWhenUsed/>
    <w:rsid w:val="00326F90"/>
    <w:pPr>
      <w:ind w:left="1080" w:hanging="360"/>
      <w:contextualSpacing/>
    </w:pPr>
    <w:rPr>
      <w:lang w:val="en-US"/>
    </w:rPr>
  </w:style>
  <w:style w:type="paragraph" w:styleId="ListBullet">
    <w:name w:val="List Bullet"/>
    <w:basedOn w:val="Normal"/>
    <w:uiPriority w:val="99"/>
    <w:unhideWhenUsed/>
    <w:rsid w:val="00326F90"/>
    <w:pPr>
      <w:numPr>
        <w:numId w:val="1"/>
      </w:numPr>
      <w:contextualSpacing/>
    </w:pPr>
    <w:rPr>
      <w:lang w:val="en-US"/>
    </w:rPr>
  </w:style>
  <w:style w:type="paragraph" w:styleId="ListBullet2">
    <w:name w:val="List Bullet 2"/>
    <w:basedOn w:val="Normal"/>
    <w:uiPriority w:val="99"/>
    <w:unhideWhenUsed/>
    <w:rsid w:val="00326F90"/>
    <w:pPr>
      <w:numPr>
        <w:numId w:val="2"/>
      </w:numPr>
      <w:contextualSpacing/>
    </w:pPr>
    <w:rPr>
      <w:lang w:val="en-US"/>
    </w:rPr>
  </w:style>
  <w:style w:type="paragraph" w:styleId="ListBullet3">
    <w:name w:val="List Bullet 3"/>
    <w:basedOn w:val="Normal"/>
    <w:uiPriority w:val="99"/>
    <w:unhideWhenUsed/>
    <w:rsid w:val="00326F90"/>
    <w:pPr>
      <w:numPr>
        <w:numId w:val="3"/>
      </w:numPr>
      <w:contextualSpacing/>
    </w:pPr>
    <w:rPr>
      <w:lang w:val="en-US"/>
    </w:rPr>
  </w:style>
  <w:style w:type="paragraph" w:styleId="ListNumber">
    <w:name w:val="List Number"/>
    <w:basedOn w:val="Normal"/>
    <w:uiPriority w:val="99"/>
    <w:unhideWhenUsed/>
    <w:rsid w:val="00326F90"/>
    <w:pPr>
      <w:numPr>
        <w:numId w:val="5"/>
      </w:numPr>
      <w:contextualSpacing/>
    </w:pPr>
    <w:rPr>
      <w:lang w:val="en-US"/>
    </w:rPr>
  </w:style>
  <w:style w:type="paragraph" w:styleId="ListNumber2">
    <w:name w:val="List Number 2"/>
    <w:basedOn w:val="Normal"/>
    <w:uiPriority w:val="99"/>
    <w:unhideWhenUsed/>
    <w:rsid w:val="0029639D"/>
    <w:pPr>
      <w:numPr>
        <w:numId w:val="6"/>
      </w:numPr>
      <w:contextualSpacing/>
    </w:pPr>
    <w:rPr>
      <w:lang w:val="en-US"/>
    </w:rPr>
  </w:style>
  <w:style w:type="paragraph" w:styleId="ListNumber3">
    <w:name w:val="List Number 3"/>
    <w:basedOn w:val="Normal"/>
    <w:uiPriority w:val="99"/>
    <w:unhideWhenUsed/>
    <w:rsid w:val="0029639D"/>
    <w:pPr>
      <w:numPr>
        <w:numId w:val="7"/>
      </w:numPr>
      <w:contextualSpacing/>
    </w:pPr>
    <w:rPr>
      <w:lang w:val="en-US"/>
    </w:rPr>
  </w:style>
  <w:style w:type="paragraph" w:styleId="ListContinue">
    <w:name w:val="List Continue"/>
    <w:basedOn w:val="Normal"/>
    <w:uiPriority w:val="99"/>
    <w:unhideWhenUsed/>
    <w:rsid w:val="0029639D"/>
    <w:pPr>
      <w:spacing w:after="120"/>
      <w:ind w:left="360"/>
      <w:contextualSpacing/>
    </w:pPr>
    <w:rPr>
      <w:lang w:val="en-US"/>
    </w:rPr>
  </w:style>
  <w:style w:type="paragraph" w:styleId="ListContinue2">
    <w:name w:val="List Continue 2"/>
    <w:basedOn w:val="Normal"/>
    <w:uiPriority w:val="99"/>
    <w:unhideWhenUsed/>
    <w:rsid w:val="0029639D"/>
    <w:pPr>
      <w:spacing w:after="120"/>
      <w:ind w:left="720"/>
      <w:contextualSpacing/>
    </w:pPr>
    <w:rPr>
      <w:lang w:val="en-US"/>
    </w:rPr>
  </w:style>
  <w:style w:type="paragraph" w:styleId="ListContinue3">
    <w:name w:val="List Continue 3"/>
    <w:basedOn w:val="Normal"/>
    <w:uiPriority w:val="99"/>
    <w:unhideWhenUsed/>
    <w:rsid w:val="0029639D"/>
    <w:pPr>
      <w:spacing w:after="120"/>
      <w:ind w:left="1080"/>
      <w:contextualSpacing/>
    </w:pPr>
    <w:rPr>
      <w:lang w:val="en-U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US"/>
    </w:rPr>
  </w:style>
  <w:style w:type="character" w:customStyle="1" w:styleId="MacroTextChar">
    <w:name w:val="Macro Text Char"/>
    <w:basedOn w:val="DefaultParagraphFont"/>
    <w:link w:val="MacroText"/>
    <w:uiPriority w:val="99"/>
    <w:rsid w:val="0029639D"/>
    <w:rPr>
      <w:rFonts w:ascii="Courier" w:hAnsi="Courier"/>
      <w:sz w:val="20"/>
      <w:szCs w:val="20"/>
      <w:lang w:val="en-US"/>
    </w:rPr>
  </w:style>
  <w:style w:type="paragraph" w:styleId="Quote">
    <w:name w:val="Quote"/>
    <w:basedOn w:val="Normal"/>
    <w:next w:val="Normal"/>
    <w:link w:val="QuoteChar"/>
    <w:uiPriority w:val="29"/>
    <w:qFormat/>
    <w:rsid w:val="00FC693F"/>
    <w:rPr>
      <w:i/>
      <w:iCs/>
      <w:color w:val="000000" w:themeColor="text1"/>
      <w:lang w:val="en-US"/>
    </w:rPr>
  </w:style>
  <w:style w:type="character" w:customStyle="1" w:styleId="QuoteChar">
    <w:name w:val="Quote Char"/>
    <w:basedOn w:val="DefaultParagraphFont"/>
    <w:link w:val="Quote"/>
    <w:uiPriority w:val="29"/>
    <w:rsid w:val="00FC693F"/>
    <w:rPr>
      <w:i/>
      <w:iCs/>
      <w:color w:val="000000" w:themeColor="text1"/>
      <w:lang w:val="en-US"/>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n-US"/>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n-US"/>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n-US"/>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n-US"/>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US"/>
    </w:rPr>
  </w:style>
  <w:style w:type="character" w:styleId="Strong">
    <w:name w:val="Strong"/>
    <w:basedOn w:val="DefaultParagraphFont"/>
    <w:uiPriority w:val="22"/>
    <w:qFormat/>
    <w:rsid w:val="00FC693F"/>
    <w:rPr>
      <w:b/>
      <w:bCs/>
      <w:lang w:val="en-US"/>
    </w:rPr>
  </w:style>
  <w:style w:type="character" w:styleId="Emphasis">
    <w:name w:val="Emphasis"/>
    <w:basedOn w:val="DefaultParagraphFont"/>
    <w:uiPriority w:val="20"/>
    <w:qFormat/>
    <w:rsid w:val="00FC693F"/>
    <w:rPr>
      <w:i/>
      <w:iCs/>
      <w:lang w:val="en-U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US"/>
    </w:rPr>
  </w:style>
  <w:style w:type="character" w:customStyle="1" w:styleId="IntenseQuoteChar">
    <w:name w:val="Intense Quote Char"/>
    <w:basedOn w:val="DefaultParagraphFont"/>
    <w:link w:val="IntenseQuote"/>
    <w:uiPriority w:val="30"/>
    <w:rsid w:val="00FC693F"/>
    <w:rPr>
      <w:b/>
      <w:bCs/>
      <w:i/>
      <w:iCs/>
      <w:color w:val="4F81BD" w:themeColor="accent1"/>
      <w:lang w:val="en-US"/>
    </w:rPr>
  </w:style>
  <w:style w:type="character" w:styleId="SubtleEmphasis">
    <w:name w:val="Subtle Emphasis"/>
    <w:basedOn w:val="DefaultParagraphFont"/>
    <w:uiPriority w:val="19"/>
    <w:qFormat/>
    <w:rsid w:val="00FC693F"/>
    <w:rPr>
      <w:i/>
      <w:iCs/>
      <w:color w:val="808080" w:themeColor="text1" w:themeTint="7F"/>
      <w:lang w:val="en-US"/>
    </w:rPr>
  </w:style>
  <w:style w:type="character" w:styleId="IntenseEmphasis">
    <w:name w:val="Intense Emphasis"/>
    <w:basedOn w:val="DefaultParagraphFont"/>
    <w:uiPriority w:val="21"/>
    <w:qFormat/>
    <w:rsid w:val="00FC693F"/>
    <w:rPr>
      <w:b/>
      <w:bCs/>
      <w:i/>
      <w:iCs/>
      <w:color w:val="4F81BD" w:themeColor="accent1"/>
      <w:lang w:val="en-US"/>
    </w:rPr>
  </w:style>
  <w:style w:type="character" w:styleId="SubtleReference">
    <w:name w:val="Subtle Reference"/>
    <w:basedOn w:val="DefaultParagraphFont"/>
    <w:uiPriority w:val="31"/>
    <w:qFormat/>
    <w:rsid w:val="00FC693F"/>
    <w:rPr>
      <w:smallCaps/>
      <w:color w:val="C0504D" w:themeColor="accent2"/>
      <w:u w:val="single"/>
      <w:lang w:val="en-US"/>
    </w:rPr>
  </w:style>
  <w:style w:type="character" w:styleId="IntenseReference">
    <w:name w:val="Intense Reference"/>
    <w:basedOn w:val="DefaultParagraphFont"/>
    <w:uiPriority w:val="32"/>
    <w:qFormat/>
    <w:rsid w:val="00FC693F"/>
    <w:rPr>
      <w:b/>
      <w:bCs/>
      <w:smallCaps/>
      <w:color w:val="C0504D" w:themeColor="accent2"/>
      <w:spacing w:val="5"/>
      <w:u w:val="single"/>
      <w:lang w:val="en-US"/>
    </w:rPr>
  </w:style>
  <w:style w:type="character" w:styleId="BookTitle">
    <w:name w:val="Book Title"/>
    <w:basedOn w:val="DefaultParagraphFont"/>
    <w:uiPriority w:val="33"/>
    <w:qFormat/>
    <w:rsid w:val="00FC693F"/>
    <w:rPr>
      <w:b/>
      <w:bCs/>
      <w:smallCaps/>
      <w:spacing w:val="5"/>
      <w:lang w:val="en-US"/>
    </w:rPr>
  </w:style>
  <w:style w:type="paragraph" w:styleId="TOCHeading">
    <w:name w:val="TOC Heading"/>
    <w:basedOn w:val="Heading1"/>
    <w:next w:val="Normal"/>
    <w:uiPriority w:val="39"/>
    <w:semiHidden/>
    <w:unhideWhenUsed/>
    <w:qFormat/>
    <w:rsid w:val="00FC693F"/>
    <w:pPr>
      <w:outlineLvl w:val="9"/>
    </w:pPr>
    <w:rPr>
      <w:lang w:val="en-U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Hillcrest Dental | Bid Review</dc:title>
  <dc:subject>Owner bid comparison and clarification questions</dc:subject>
  <dc:creator>Juniper Street Architects, Inc.</dc:creator>
  <cp:keywords/>
  <dc:description>generated by python-docx</dc:description>
  <cp:lastModifiedBy/>
  <cp:revision>2</cp:revision>
  <dcterms:created xsi:type="dcterms:W3CDTF">2013-12-23T23:15:00Z</dcterms:created>
  <dcterms:modified xsi:type="dcterms:W3CDTF">2013-12-23T23:15:00Z</dcterms:modified>
  <cp:category/>
  <dc:language>en-US</dc:language>
</cp:coreProperties>
</file>